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ED602F" w14:textId="77777777" w:rsidR="00255742" w:rsidRDefault="00000000">
      <w:pPr>
        <w:spacing w:before="600" w:after="100"/>
        <w:jc w:val="center"/>
      </w:pPr>
      <w:r>
        <w:rPr>
          <w:rFonts w:ascii="Calibri" w:eastAsia="Calibri" w:hAnsi="Calibri" w:cs="Calibri"/>
          <w:b/>
          <w:bCs/>
          <w:color w:val="1F3864"/>
          <w:sz w:val="44"/>
          <w:szCs w:val="44"/>
        </w:rPr>
        <w:t>Reducing Antisemitism Through Education</w:t>
      </w:r>
    </w:p>
    <w:p w14:paraId="7C8FB6E6" w14:textId="610F39CE" w:rsidR="00255742" w:rsidRDefault="00E51AD0">
      <w:pPr>
        <w:spacing w:after="400"/>
        <w:jc w:val="center"/>
      </w:pPr>
      <w:r>
        <w:rPr>
          <w:rFonts w:ascii="Calibri" w:eastAsia="Calibri" w:hAnsi="Calibri" w:cs="Calibri"/>
          <w:i/>
          <w:iCs/>
          <w:color w:val="2E5395"/>
          <w:sz w:val="28"/>
          <w:szCs w:val="28"/>
        </w:rPr>
        <w:t xml:space="preserve">Reviewing </w:t>
      </w:r>
      <w:r w:rsidR="00000000">
        <w:rPr>
          <w:rFonts w:ascii="Calibri" w:eastAsia="Calibri" w:hAnsi="Calibri" w:cs="Calibri"/>
          <w:i/>
          <w:iCs/>
          <w:color w:val="2E5395"/>
          <w:sz w:val="28"/>
          <w:szCs w:val="28"/>
        </w:rPr>
        <w:t>More and Less Successful Approaches</w:t>
      </w:r>
    </w:p>
    <w:p w14:paraId="30688EDD" w14:textId="77777777" w:rsidR="00255742" w:rsidRDefault="00000000">
      <w:pPr>
        <w:spacing w:after="60"/>
        <w:jc w:val="center"/>
      </w:pPr>
      <w:r>
        <w:rPr>
          <w:rFonts w:ascii="Calibri" w:eastAsia="Calibri" w:hAnsi="Calibri" w:cs="Calibri"/>
          <w:sz w:val="21"/>
          <w:szCs w:val="21"/>
        </w:rPr>
        <w:t>Prepared by: Andrew Jakubowicz, Emeritus Professor of Sociology, University of Technology Sydney</w:t>
      </w:r>
    </w:p>
    <w:p w14:paraId="363D911F" w14:textId="77777777" w:rsidR="00255742" w:rsidRDefault="00000000">
      <w:pPr>
        <w:spacing w:after="60"/>
        <w:jc w:val="center"/>
      </w:pPr>
      <w:r>
        <w:rPr>
          <w:rFonts w:ascii="Calibri" w:eastAsia="Calibri" w:hAnsi="Calibri" w:cs="Calibri"/>
          <w:sz w:val="21"/>
          <w:szCs w:val="21"/>
        </w:rPr>
        <w:t xml:space="preserve">Based </w:t>
      </w:r>
      <w:proofErr w:type="gramStart"/>
      <w:r>
        <w:rPr>
          <w:rFonts w:ascii="Calibri" w:eastAsia="Calibri" w:hAnsi="Calibri" w:cs="Calibri"/>
          <w:sz w:val="21"/>
          <w:szCs w:val="21"/>
        </w:rPr>
        <w:t>on:</w:t>
      </w:r>
      <w:proofErr w:type="gramEnd"/>
      <w:r>
        <w:rPr>
          <w:rFonts w:ascii="Calibri" w:eastAsia="Calibri" w:hAnsi="Calibri" w:cs="Calibri"/>
          <w:sz w:val="21"/>
          <w:szCs w:val="21"/>
        </w:rPr>
        <w:t xml:space="preserve"> peer-reviewed research, AHRC evaluation reports, ADL </w:t>
      </w:r>
      <w:proofErr w:type="spellStart"/>
      <w:r>
        <w:rPr>
          <w:rFonts w:ascii="Calibri" w:eastAsia="Calibri" w:hAnsi="Calibri" w:cs="Calibri"/>
          <w:sz w:val="21"/>
          <w:szCs w:val="21"/>
        </w:rPr>
        <w:t>Center</w:t>
      </w:r>
      <w:proofErr w:type="spellEnd"/>
      <w:r>
        <w:rPr>
          <w:rFonts w:ascii="Calibri" w:eastAsia="Calibri" w:hAnsi="Calibri" w:cs="Calibri"/>
          <w:sz w:val="21"/>
          <w:szCs w:val="21"/>
        </w:rPr>
        <w:t xml:space="preserve"> for Antisemitism Research, and UNESCO pedagogical guidance, updated to July 2026</w:t>
      </w:r>
    </w:p>
    <w:p w14:paraId="42F74FA0" w14:textId="77777777" w:rsidR="00255742" w:rsidRDefault="00255742">
      <w:pPr>
        <w:spacing w:before="200" w:after="400"/>
      </w:pPr>
    </w:p>
    <w:p w14:paraId="24B68A6A"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Preface: The Evidence Problem</w:t>
      </w:r>
    </w:p>
    <w:p w14:paraId="2C391261" w14:textId="07231261" w:rsidR="003B14C3" w:rsidRPr="003B14C3" w:rsidRDefault="003B14C3">
      <w:pPr>
        <w:spacing w:after="160" w:line="276" w:lineRule="auto"/>
        <w:rPr>
          <w:rFonts w:ascii="Calibri" w:eastAsia="Calibri" w:hAnsi="Calibri" w:cs="Calibri"/>
          <w:sz w:val="22"/>
          <w:szCs w:val="22"/>
        </w:rPr>
      </w:pPr>
      <w:r w:rsidRPr="003B14C3">
        <w:rPr>
          <w:rFonts w:ascii="Calibri" w:eastAsia="Calibri" w:hAnsi="Calibri" w:cs="Calibri"/>
          <w:sz w:val="22"/>
          <w:szCs w:val="22"/>
        </w:rPr>
        <w:t xml:space="preserve">What does the research literature tell us about educational interventions designed to reduce antisemitism in schools, universities, and community learning settings? This </w:t>
      </w:r>
      <w:r>
        <w:rPr>
          <w:rFonts w:ascii="Calibri" w:eastAsia="Calibri" w:hAnsi="Calibri" w:cs="Calibri"/>
          <w:sz w:val="22"/>
          <w:szCs w:val="22"/>
        </w:rPr>
        <w:t>has emerged in recent years as one of</w:t>
      </w:r>
      <w:r w:rsidRPr="003B14C3">
        <w:rPr>
          <w:rFonts w:ascii="Calibri" w:eastAsia="Calibri" w:hAnsi="Calibri" w:cs="Calibri"/>
          <w:sz w:val="22"/>
          <w:szCs w:val="22"/>
        </w:rPr>
        <w:t xml:space="preserve"> the most difficult and contentious area of education policy. In this paper the findings of empirical research are offered as potentially helpful perspectives from which to address the challenges that continue in our schools, colleges and universities. </w:t>
      </w:r>
    </w:p>
    <w:p w14:paraId="49729C1E" w14:textId="77777777" w:rsidR="003B14C3" w:rsidRDefault="003B14C3">
      <w:pPr>
        <w:spacing w:after="160" w:line="276" w:lineRule="auto"/>
        <w:rPr>
          <w:color w:val="000000"/>
        </w:rPr>
      </w:pPr>
    </w:p>
    <w:p w14:paraId="40B8E6C7" w14:textId="2482D002" w:rsidR="00255742" w:rsidRDefault="00000000">
      <w:pPr>
        <w:spacing w:after="160" w:line="276" w:lineRule="auto"/>
      </w:pPr>
      <w:r>
        <w:rPr>
          <w:rFonts w:ascii="Calibri" w:eastAsia="Calibri" w:hAnsi="Calibri" w:cs="Calibri"/>
          <w:sz w:val="22"/>
          <w:szCs w:val="22"/>
        </w:rPr>
        <w:t>A critical preliminary finding must be stated plainly: the evidence base is thinner than is widely assumed. A 2026 systematic scoping review examined nearly 4,000 studies (n = 3,855) using the search terms "antisemitism," "education," "training," "prevention," and "intervention," but found only six that evaluated educational programs against antisemitism using empirical methods. By contrast, the same search identified 24 concrete training manuals, most produced by civil society organisations. The field has generated far more program delivery than rigorous outcome data, and this disconnect has not narrowed since the last edition of this guide.</w:t>
      </w:r>
    </w:p>
    <w:p w14:paraId="107A3FC1" w14:textId="77777777" w:rsidR="00255742" w:rsidRDefault="00000000">
      <w:pPr>
        <w:spacing w:after="160" w:line="276" w:lineRule="auto"/>
      </w:pPr>
      <w:r>
        <w:rPr>
          <w:rFonts w:ascii="Calibri" w:eastAsia="Calibri" w:hAnsi="Calibri" w:cs="Calibri"/>
          <w:sz w:val="22"/>
          <w:szCs w:val="22"/>
        </w:rPr>
        <w:t>This gap sits alongside a second and increasingly urgent trend: the scale of the problem itself continues to grow, and it is no longer confined to the classroom. A January 2026 study of 584 Jewish K-12 educators in the United States found that 61.6% had personally experienced or witnessed antisemitism in their professional environment. A parallel 2026 survey of Jewish university students found 57.3% reporting direct experience of antisemitism and 63.4% reporting exposure as bystanders, with measurable impacts on students' sense of safety, sleep, social participation, and capacity to plan their futures. At the same time, ADL's 2026 Campus Antisemitism Report Card found meaningful institutional improvement at many of the 150 US campuses it assessed — but cautioned that policy progress has not yet reliably translated into lived experience for Jewish students, staff, and faculty.</w:t>
      </w:r>
    </w:p>
    <w:p w14:paraId="3CEC9253" w14:textId="77777777" w:rsidR="00255742" w:rsidRDefault="00000000">
      <w:pPr>
        <w:spacing w:after="160" w:line="276" w:lineRule="auto"/>
      </w:pPr>
      <w:r>
        <w:rPr>
          <w:rFonts w:ascii="Calibri" w:eastAsia="Calibri" w:hAnsi="Calibri" w:cs="Calibri"/>
          <w:sz w:val="22"/>
          <w:szCs w:val="22"/>
        </w:rPr>
        <w:t>The practical implication is unchanged from the previous edition: educators and policymakers should treat the guidance below as current best evidence while remaining open to revision as more rigorous studies emerge — and should resist the temptation to treat visible activity (events, statements, policy documents) as a proxy for demonstrated impact.</w:t>
      </w:r>
    </w:p>
    <w:p w14:paraId="5AB6515E" w14:textId="77777777" w:rsidR="00255742" w:rsidRDefault="00000000">
      <w:pPr>
        <w:pStyle w:val="Heading2"/>
        <w:spacing w:before="300" w:after="160"/>
      </w:pPr>
      <w:r>
        <w:rPr>
          <w:rFonts w:ascii="Calibri" w:eastAsia="Calibri" w:hAnsi="Calibri" w:cs="Calibri"/>
          <w:b/>
          <w:bCs/>
          <w:color w:val="2E5395"/>
          <w:sz w:val="25"/>
          <w:szCs w:val="25"/>
        </w:rPr>
        <w:t>Australian evidence</w:t>
      </w:r>
    </w:p>
    <w:p w14:paraId="1F5C6D79" w14:textId="77777777" w:rsidR="00255742" w:rsidRDefault="00000000">
      <w:pPr>
        <w:spacing w:after="160" w:line="276" w:lineRule="auto"/>
      </w:pPr>
      <w:r>
        <w:rPr>
          <w:rFonts w:ascii="Calibri" w:eastAsia="Calibri" w:hAnsi="Calibri" w:cs="Calibri"/>
          <w:sz w:val="22"/>
          <w:szCs w:val="22"/>
        </w:rPr>
        <w:t xml:space="preserve">Australia has, over 2025–2026, produced an unusually dense body of inquiry and survey evidence, though — consistent with the international pattern above — almost none of it is outcome evaluation of educational </w:t>
      </w:r>
      <w:r>
        <w:rPr>
          <w:rFonts w:ascii="Calibri" w:eastAsia="Calibri" w:hAnsi="Calibri" w:cs="Calibri"/>
          <w:sz w:val="22"/>
          <w:szCs w:val="22"/>
        </w:rPr>
        <w:lastRenderedPageBreak/>
        <w:t>interventions specifically. It is prevalence and impact evidence, which is a different and complementary thing. Four bodies of work stand out.</w:t>
      </w:r>
    </w:p>
    <w:p w14:paraId="37E08B22" w14:textId="77777777" w:rsidR="00255742" w:rsidRDefault="00000000">
      <w:pPr>
        <w:spacing w:after="160" w:line="276" w:lineRule="auto"/>
      </w:pPr>
      <w:r>
        <w:rPr>
          <w:rFonts w:ascii="Calibri" w:eastAsia="Calibri" w:hAnsi="Calibri" w:cs="Calibri"/>
          <w:sz w:val="22"/>
          <w:szCs w:val="22"/>
        </w:rPr>
        <w:t>First, the Parliamentary Joint Committee on Human Rights' Inquiry into Antisemitism at Australian Universities, tabled 12 February 2025, found existing university frameworks for prevention and response left Jewish students and staff feeling unsafe, and made ten recommendations, including that universities publish regular anonymous complaint data, resource antisemitism-specific research, and provide ongoing staff and student training. Notably, the Committee explicitly framed its task as balancing protection from antisemitism with academic freedom and freedom of speech, rather than treating the two as separable problems — a framing this guide's Section 5 returns to. A companion Senate Legal and Constitutional Affairs Committee inquiry (October 2024) reached similar conclusions about inadequate institutional response.</w:t>
      </w:r>
    </w:p>
    <w:p w14:paraId="3C465877" w14:textId="77777777" w:rsidR="00255742" w:rsidRDefault="00000000">
      <w:pPr>
        <w:spacing w:after="160" w:line="276" w:lineRule="auto"/>
      </w:pPr>
      <w:r>
        <w:rPr>
          <w:rFonts w:ascii="Calibri" w:eastAsia="Calibri" w:hAnsi="Calibri" w:cs="Calibri"/>
          <w:sz w:val="22"/>
          <w:szCs w:val="22"/>
        </w:rPr>
        <w:t>Second, and considerably larger in scale, the Australian Human Rights Commission's Respect at Uni study (final report delivered to government December 2025, publicly released February 2026) is the most comprehensive examination of racism in Australian universities ever undertaken, drawing on a national survey, focus groups, a policy audit, and a literature review across 42 universities, with more than 76,000 students and staff contributing. It found antisemitism, Islamophobia, and anti-Palestinian and anti-Arab racism are all present and rising, alongside entrenched racism against First Nations students and staff, and made 47 recommendations calling for coordinated national action rather than ad hoc institutional responses. For this guide's purposes, its most important methodological point is that it treated affected communities — Jewish, Muslim, Palestinian, Arab, and First Nations — as experiencing distinct and non-substitutable forms of racism requiring communally specific, not generic, responses; a one-size-fits-all anti-racism module is not what the evidence supports.</w:t>
      </w:r>
    </w:p>
    <w:p w14:paraId="71BCA126" w14:textId="77777777" w:rsidR="00255742" w:rsidRDefault="00000000">
      <w:pPr>
        <w:spacing w:after="160" w:line="276" w:lineRule="auto"/>
      </w:pPr>
      <w:r>
        <w:rPr>
          <w:rFonts w:ascii="Calibri" w:eastAsia="Calibri" w:hAnsi="Calibri" w:cs="Calibri"/>
          <w:sz w:val="22"/>
          <w:szCs w:val="22"/>
        </w:rPr>
        <w:t>Third, The Jewish Independent's Crossroads25 survey (designed by Emeritus Professor Andrew Markus, fielded by YouGov, n = 2,270, August 2025) provides the most methodologically rigorous longitudinal data on general Australian public attitudes to Jews, Israel, and antisemitism, tracking against a 2021 baseline (Crossroads21). Its central finding complicates a common assumption: stereotypical antisemitic (Judeophobic) attitudes have not measurably increased in the Australian general population since October 2023, and 60% or more of respondents support Israel's right to exist and defend itself. But the survey also found sharp generational and political divergence — more than half of 18–</w:t>
      </w:r>
      <w:proofErr w:type="gramStart"/>
      <w:r>
        <w:rPr>
          <w:rFonts w:ascii="Calibri" w:eastAsia="Calibri" w:hAnsi="Calibri" w:cs="Calibri"/>
          <w:sz w:val="22"/>
          <w:szCs w:val="22"/>
        </w:rPr>
        <w:t>24 year-olds</w:t>
      </w:r>
      <w:proofErr w:type="gramEnd"/>
      <w:r>
        <w:rPr>
          <w:rFonts w:ascii="Calibri" w:eastAsia="Calibri" w:hAnsi="Calibri" w:cs="Calibri"/>
          <w:sz w:val="22"/>
          <w:szCs w:val="22"/>
        </w:rPr>
        <w:t xml:space="preserve"> agreed with statements comparing Israeli conduct in Gaza to the Nazi treatment of Jews — and significant public ignorance or uncertainty about the events of 7 October 2023 itself (44% unsure whether media reports that approximately 1,200 Israelis were killed were accurate, a further 5% believing the reports were broadly untrue). Professor Markus presented this data directly to the Royal Commission's May 2026 hearings, where it was used to frame a hard pedagogical question this guide's Section 3 is directly relevant to: whether prejudice and misinformation about contested recent events are amenable to education at </w:t>
      </w:r>
      <w:proofErr w:type="gramStart"/>
      <w:r>
        <w:rPr>
          <w:rFonts w:ascii="Calibri" w:eastAsia="Calibri" w:hAnsi="Calibri" w:cs="Calibri"/>
          <w:sz w:val="22"/>
          <w:szCs w:val="22"/>
        </w:rPr>
        <w:t>all, or</w:t>
      </w:r>
      <w:proofErr w:type="gramEnd"/>
      <w:r>
        <w:rPr>
          <w:rFonts w:ascii="Calibri" w:eastAsia="Calibri" w:hAnsi="Calibri" w:cs="Calibri"/>
          <w:sz w:val="22"/>
          <w:szCs w:val="22"/>
        </w:rPr>
        <w:t xml:space="preserve"> require different tools.</w:t>
      </w:r>
    </w:p>
    <w:p w14:paraId="6C7F196D" w14:textId="77777777" w:rsidR="00255742" w:rsidRDefault="00000000">
      <w:pPr>
        <w:spacing w:after="160" w:line="276" w:lineRule="auto"/>
      </w:pPr>
      <w:r>
        <w:rPr>
          <w:rFonts w:ascii="Calibri" w:eastAsia="Calibri" w:hAnsi="Calibri" w:cs="Calibri"/>
          <w:sz w:val="22"/>
          <w:szCs w:val="22"/>
        </w:rPr>
        <w:t xml:space="preserve">Fourth, sector and advocacy-body research — including the Australian Academic Alliance against Antisemitism's audit of post-October-2023 incidents, submissions to the above inquiries from the Australasian Union of Jewish Students, the Zionist Federation of Australia, and Group of Eight universities, and independent policy analysis such as the Centre for Independent Studies' Progressive Intolerance report — has documented a consistent pattern of campus incidents (exclusion from student spaces, targeted harassment of self-identified Zionist students, disrupted classes) alongside contested claims about the adequacy and even-handedness of institutional responses. This literature is advocacy-inflected in ways the AHRC and parliamentary material is </w:t>
      </w:r>
      <w:proofErr w:type="gramStart"/>
      <w:r>
        <w:rPr>
          <w:rFonts w:ascii="Calibri" w:eastAsia="Calibri" w:hAnsi="Calibri" w:cs="Calibri"/>
          <w:sz w:val="22"/>
          <w:szCs w:val="22"/>
        </w:rPr>
        <w:t>not, and</w:t>
      </w:r>
      <w:proofErr w:type="gramEnd"/>
      <w:r>
        <w:rPr>
          <w:rFonts w:ascii="Calibri" w:eastAsia="Calibri" w:hAnsi="Calibri" w:cs="Calibri"/>
          <w:sz w:val="22"/>
          <w:szCs w:val="22"/>
        </w:rPr>
        <w:t xml:space="preserve"> should be read accordingly — but it usefully surfaces specific incident patterns (for example, students being excluded from shared housing or peer groups over perceived Zionist affiliation) that the larger surveys register only in aggregate.</w:t>
      </w:r>
    </w:p>
    <w:p w14:paraId="62FF56B8" w14:textId="77777777" w:rsidR="00255742" w:rsidRDefault="00000000">
      <w:pPr>
        <w:spacing w:after="160" w:line="276" w:lineRule="auto"/>
      </w:pPr>
      <w:r>
        <w:rPr>
          <w:rFonts w:ascii="Calibri" w:eastAsia="Calibri" w:hAnsi="Calibri" w:cs="Calibri"/>
          <w:sz w:val="22"/>
          <w:szCs w:val="22"/>
        </w:rPr>
        <w:lastRenderedPageBreak/>
        <w:t>Taken together, the Australian evidence base as of mid-2026 is strong on prevalence and impact and still thin on intervention evaluation — mirroring the international scoping review finding above almost exactly. The Go8's move to adopt an IHRA-aligned working definition, and the training modules being rolled out by the Monash Australian Centre for Jewish Civilisation across Go8 institutions, are significant policy developments, but neither has yet been the subject of a published outcome evaluation. This is the most important gap for Australian practitioners and policymakers to close over the next several years.</w:t>
      </w:r>
    </w:p>
    <w:tbl>
      <w:tblPr>
        <w:tblW w:w="5000" w:type="pct"/>
        <w:tblBorders>
          <w:top w:val="single" w:sz="4" w:space="0" w:color="9AA7C7"/>
          <w:left w:val="single" w:sz="4" w:space="0" w:color="9AA7C7"/>
          <w:bottom w:val="single" w:sz="4" w:space="0" w:color="9AA7C7"/>
          <w:right w:val="single" w:sz="4" w:space="0" w:color="9AA7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36"/>
      </w:tblGrid>
      <w:tr w:rsidR="00255742" w14:paraId="6077C601" w14:textId="77777777">
        <w:tblPrEx>
          <w:tblCellMar>
            <w:top w:w="0" w:type="dxa"/>
            <w:bottom w:w="0" w:type="dxa"/>
          </w:tblCellMar>
        </w:tblPrEx>
        <w:tc>
          <w:tcPr>
            <w:tcW w:w="0" w:type="auto"/>
            <w:shd w:val="clear" w:color="auto" w:fill="EEF1F8"/>
            <w:tcMar>
              <w:top w:w="160" w:type="dxa"/>
              <w:left w:w="200" w:type="dxa"/>
              <w:bottom w:w="160" w:type="dxa"/>
              <w:right w:w="200" w:type="dxa"/>
            </w:tcMar>
          </w:tcPr>
          <w:p w14:paraId="78AEAEE0" w14:textId="137D0A3F" w:rsidR="00255742" w:rsidRDefault="00000000">
            <w:pPr>
              <w:spacing w:line="264" w:lineRule="auto"/>
            </w:pPr>
            <w:r>
              <w:rPr>
                <w:rFonts w:ascii="Calibri" w:eastAsia="Calibri" w:hAnsi="Calibri" w:cs="Calibri"/>
                <w:b/>
                <w:bCs/>
                <w:i/>
                <w:iCs/>
                <w:color w:val="2E5395"/>
                <w:sz w:val="21"/>
                <w:szCs w:val="21"/>
              </w:rPr>
              <w:t>Not</w:t>
            </w:r>
            <w:r w:rsidR="006A6658">
              <w:rPr>
                <w:rFonts w:ascii="Calibri" w:eastAsia="Calibri" w:hAnsi="Calibri" w:cs="Calibri"/>
                <w:b/>
                <w:bCs/>
                <w:i/>
                <w:iCs/>
                <w:color w:val="2E5395"/>
                <w:sz w:val="21"/>
                <w:szCs w:val="21"/>
              </w:rPr>
              <w:t>e</w:t>
            </w:r>
            <w:r>
              <w:rPr>
                <w:rFonts w:ascii="Calibri" w:eastAsia="Calibri" w:hAnsi="Calibri" w:cs="Calibri"/>
                <w:b/>
                <w:bCs/>
                <w:i/>
                <w:iCs/>
                <w:color w:val="2E5395"/>
                <w:sz w:val="21"/>
                <w:szCs w:val="21"/>
              </w:rPr>
              <w:t xml:space="preserve">: </w:t>
            </w:r>
            <w:r>
              <w:rPr>
                <w:rFonts w:ascii="Calibri" w:eastAsia="Calibri" w:hAnsi="Calibri" w:cs="Calibri"/>
                <w:i/>
                <w:iCs/>
                <w:sz w:val="21"/>
                <w:szCs w:val="21"/>
              </w:rPr>
              <w:t xml:space="preserve">This </w:t>
            </w:r>
            <w:r w:rsidR="006A6658">
              <w:rPr>
                <w:rFonts w:ascii="Calibri" w:eastAsia="Calibri" w:hAnsi="Calibri" w:cs="Calibri"/>
                <w:i/>
                <w:iCs/>
                <w:sz w:val="21"/>
                <w:szCs w:val="21"/>
              </w:rPr>
              <w:t>Review</w:t>
            </w:r>
            <w:r>
              <w:rPr>
                <w:rFonts w:ascii="Calibri" w:eastAsia="Calibri" w:hAnsi="Calibri" w:cs="Calibri"/>
                <w:i/>
                <w:iCs/>
                <w:sz w:val="21"/>
                <w:szCs w:val="21"/>
              </w:rPr>
              <w:t xml:space="preserve"> distinguishes between approaches that are more successful (with supporting evidence of attitudinal or behavioural change) and those that are less successful (where evidence is weak, null, or counterproductive). Practices are not permanently fixed in either category: how a method is delivered matters as much as which method is chosen.</w:t>
            </w:r>
          </w:p>
        </w:tc>
      </w:tr>
    </w:tbl>
    <w:p w14:paraId="6DF3ED27" w14:textId="77777777" w:rsidR="00255742" w:rsidRDefault="00255742">
      <w:pPr>
        <w:spacing w:before="200" w:after="200"/>
      </w:pPr>
    </w:p>
    <w:p w14:paraId="41DDD460"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1. Holocaust Education</w:t>
      </w:r>
    </w:p>
    <w:p w14:paraId="76292D3B" w14:textId="77777777" w:rsidR="00255742" w:rsidRDefault="00000000">
      <w:pPr>
        <w:spacing w:after="160" w:line="276" w:lineRule="auto"/>
      </w:pPr>
      <w:r>
        <w:rPr>
          <w:rFonts w:ascii="Calibri" w:eastAsia="Calibri" w:hAnsi="Calibri" w:cs="Calibri"/>
          <w:sz w:val="22"/>
          <w:szCs w:val="22"/>
        </w:rPr>
        <w:t>Holocaust education has been the dominant institutional response to antisemitism for fifty years and is now mandated in many jurisdictions. Its record is mixed, and the reason for this is well-documented: the outcome depends not on whether the Holocaust is taught, but on how it is framed and what pedagogical choices are made.</w:t>
      </w:r>
    </w:p>
    <w:p w14:paraId="24B91FC7" w14:textId="77777777" w:rsidR="00255742" w:rsidRDefault="00000000">
      <w:pPr>
        <w:pStyle w:val="Heading2"/>
        <w:spacing w:before="300" w:after="160"/>
      </w:pPr>
      <w:r>
        <w:rPr>
          <w:rFonts w:ascii="Calibri" w:eastAsia="Calibri" w:hAnsi="Calibri" w:cs="Calibri"/>
          <w:b/>
          <w:bCs/>
          <w:color w:val="2E5395"/>
          <w:sz w:val="25"/>
          <w:szCs w:val="25"/>
        </w:rPr>
        <w:t>1.1 / 1.2 Comparative Practice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255742" w14:paraId="1011092A" w14:textId="77777777">
        <w:tblPrEx>
          <w:tblCellMar>
            <w:top w:w="0" w:type="dxa"/>
            <w:bottom w:w="0" w:type="dxa"/>
          </w:tblCellMar>
        </w:tblPrEx>
        <w:trPr>
          <w:tblHeader/>
        </w:trPr>
        <w:tc>
          <w:tcPr>
            <w:tcW w:w="4500" w:type="dxa"/>
            <w:shd w:val="clear" w:color="auto" w:fill="1F3864"/>
            <w:tcMar>
              <w:top w:w="100" w:type="dxa"/>
              <w:left w:w="150" w:type="dxa"/>
              <w:bottom w:w="100" w:type="dxa"/>
              <w:right w:w="150" w:type="dxa"/>
            </w:tcMar>
          </w:tcPr>
          <w:p w14:paraId="6D04EBFC" w14:textId="77777777" w:rsidR="00255742" w:rsidRDefault="00000000">
            <w:proofErr w:type="gramStart"/>
            <w:r>
              <w:rPr>
                <w:rFonts w:ascii="Calibri" w:eastAsia="Calibri" w:hAnsi="Calibri" w:cs="Calibri"/>
                <w:b/>
                <w:bCs/>
                <w:color w:val="FFFFFF"/>
                <w:sz w:val="21"/>
                <w:szCs w:val="21"/>
              </w:rPr>
              <w:t>✗  Less</w:t>
            </w:r>
            <w:proofErr w:type="gramEnd"/>
            <w:r>
              <w:rPr>
                <w:rFonts w:ascii="Calibri" w:eastAsia="Calibri" w:hAnsi="Calibri" w:cs="Calibri"/>
                <w:b/>
                <w:bCs/>
                <w:color w:val="FFFFFF"/>
                <w:sz w:val="21"/>
                <w:szCs w:val="21"/>
              </w:rPr>
              <w:t xml:space="preserve"> Successful Practices</w:t>
            </w:r>
          </w:p>
        </w:tc>
        <w:tc>
          <w:tcPr>
            <w:tcW w:w="4500" w:type="dxa"/>
            <w:shd w:val="clear" w:color="auto" w:fill="1F3864"/>
            <w:tcMar>
              <w:top w:w="100" w:type="dxa"/>
              <w:left w:w="150" w:type="dxa"/>
              <w:bottom w:w="100" w:type="dxa"/>
              <w:right w:w="150" w:type="dxa"/>
            </w:tcMar>
          </w:tcPr>
          <w:p w14:paraId="70DE0274" w14:textId="77777777" w:rsidR="00255742" w:rsidRDefault="00000000">
            <w:proofErr w:type="gramStart"/>
            <w:r>
              <w:rPr>
                <w:rFonts w:ascii="Calibri" w:eastAsia="Calibri" w:hAnsi="Calibri" w:cs="Calibri"/>
                <w:b/>
                <w:bCs/>
                <w:color w:val="FFFFFF"/>
                <w:sz w:val="21"/>
                <w:szCs w:val="21"/>
              </w:rPr>
              <w:t>✓  More</w:t>
            </w:r>
            <w:proofErr w:type="gramEnd"/>
            <w:r>
              <w:rPr>
                <w:rFonts w:ascii="Calibri" w:eastAsia="Calibri" w:hAnsi="Calibri" w:cs="Calibri"/>
                <w:b/>
                <w:bCs/>
                <w:color w:val="FFFFFF"/>
                <w:sz w:val="21"/>
                <w:szCs w:val="21"/>
              </w:rPr>
              <w:t xml:space="preserve"> Successful Practices</w:t>
            </w:r>
          </w:p>
        </w:tc>
      </w:tr>
      <w:tr w:rsidR="00255742" w14:paraId="2325BF4E"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78994ED2" w14:textId="77777777" w:rsidR="00255742" w:rsidRDefault="00000000">
            <w:pPr>
              <w:spacing w:line="252" w:lineRule="auto"/>
            </w:pPr>
            <w:r>
              <w:rPr>
                <w:rFonts w:ascii="Calibri" w:eastAsia="Calibri" w:hAnsi="Calibri" w:cs="Calibri"/>
                <w:color w:val="5C1A10"/>
              </w:rPr>
              <w:t>•  Teaching the Holocaust only as atrocity, without engaging Jewish life, culture, and agency</w:t>
            </w:r>
          </w:p>
        </w:tc>
        <w:tc>
          <w:tcPr>
            <w:tcW w:w="4500" w:type="dxa"/>
            <w:shd w:val="clear" w:color="auto" w:fill="E7F3EA"/>
            <w:tcMar>
              <w:top w:w="80" w:type="dxa"/>
              <w:left w:w="150" w:type="dxa"/>
              <w:bottom w:w="80" w:type="dxa"/>
              <w:right w:w="150" w:type="dxa"/>
            </w:tcMar>
          </w:tcPr>
          <w:p w14:paraId="2C71C1D4" w14:textId="77777777" w:rsidR="00255742" w:rsidRDefault="00000000">
            <w:pPr>
              <w:spacing w:line="252" w:lineRule="auto"/>
            </w:pPr>
            <w:r>
              <w:rPr>
                <w:rFonts w:ascii="Calibri" w:eastAsia="Calibri" w:hAnsi="Calibri" w:cs="Calibri"/>
                <w:color w:val="17472A"/>
              </w:rPr>
              <w:t>•  Integrating Jewish life, culture, humour, and diversity, not persecution alone</w:t>
            </w:r>
          </w:p>
        </w:tc>
      </w:tr>
      <w:tr w:rsidR="00255742" w14:paraId="31E46848"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7A28CC47" w14:textId="77777777" w:rsidR="00255742" w:rsidRDefault="00000000">
            <w:pPr>
              <w:spacing w:line="252" w:lineRule="auto"/>
            </w:pPr>
            <w:r>
              <w:rPr>
                <w:rFonts w:ascii="Calibri" w:eastAsia="Calibri" w:hAnsi="Calibri" w:cs="Calibri"/>
                <w:color w:val="5C1A10"/>
              </w:rPr>
              <w:t>•  No explicit connection drawn to contemporary antisemitism</w:t>
            </w:r>
          </w:p>
        </w:tc>
        <w:tc>
          <w:tcPr>
            <w:tcW w:w="4500" w:type="dxa"/>
            <w:shd w:val="clear" w:color="auto" w:fill="E7F3EA"/>
            <w:tcMar>
              <w:top w:w="80" w:type="dxa"/>
              <w:left w:w="150" w:type="dxa"/>
              <w:bottom w:w="80" w:type="dxa"/>
              <w:right w:w="150" w:type="dxa"/>
            </w:tcMar>
          </w:tcPr>
          <w:p w14:paraId="0A31C1CC" w14:textId="77777777" w:rsidR="00255742" w:rsidRDefault="00000000">
            <w:pPr>
              <w:spacing w:line="252" w:lineRule="auto"/>
            </w:pPr>
            <w:r>
              <w:rPr>
                <w:rFonts w:ascii="Calibri" w:eastAsia="Calibri" w:hAnsi="Calibri" w:cs="Calibri"/>
                <w:color w:val="17472A"/>
              </w:rPr>
              <w:t>•  Explicitly mapping historical tropes onto present-day online and political hate</w:t>
            </w:r>
          </w:p>
        </w:tc>
      </w:tr>
      <w:tr w:rsidR="00255742" w14:paraId="00F227F2"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22815C56" w14:textId="77777777" w:rsidR="00255742" w:rsidRDefault="00000000">
            <w:pPr>
              <w:spacing w:line="252" w:lineRule="auto"/>
            </w:pPr>
            <w:r>
              <w:rPr>
                <w:rFonts w:ascii="Calibri" w:eastAsia="Calibri" w:hAnsi="Calibri" w:cs="Calibri"/>
                <w:color w:val="5C1A10"/>
              </w:rPr>
              <w:t>•  National framing that externalises perpetrators as distant 'others'</w:t>
            </w:r>
          </w:p>
        </w:tc>
        <w:tc>
          <w:tcPr>
            <w:tcW w:w="4500" w:type="dxa"/>
            <w:shd w:val="clear" w:color="auto" w:fill="E7F3EA"/>
            <w:tcMar>
              <w:top w:w="80" w:type="dxa"/>
              <w:left w:w="150" w:type="dxa"/>
              <w:bottom w:w="80" w:type="dxa"/>
              <w:right w:w="150" w:type="dxa"/>
            </w:tcMar>
          </w:tcPr>
          <w:p w14:paraId="57C02256" w14:textId="77777777" w:rsidR="00255742" w:rsidRDefault="00000000">
            <w:pPr>
              <w:spacing w:line="252" w:lineRule="auto"/>
            </w:pPr>
            <w:r>
              <w:rPr>
                <w:rFonts w:ascii="Calibri" w:eastAsia="Calibri" w:hAnsi="Calibri" w:cs="Calibri"/>
                <w:color w:val="17472A"/>
              </w:rPr>
              <w:t>•  Universal human-rights framing combined with honest local history</w:t>
            </w:r>
          </w:p>
        </w:tc>
      </w:tr>
      <w:tr w:rsidR="00255742" w14:paraId="6551A018"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64F31533" w14:textId="77777777" w:rsidR="00255742" w:rsidRDefault="00000000">
            <w:pPr>
              <w:spacing w:line="252" w:lineRule="auto"/>
            </w:pPr>
            <w:r>
              <w:rPr>
                <w:rFonts w:ascii="Calibri" w:eastAsia="Calibri" w:hAnsi="Calibri" w:cs="Calibri"/>
                <w:color w:val="5C1A10"/>
              </w:rPr>
              <w:t>•  Assuming factual knowledge alone changes attitudes</w:t>
            </w:r>
          </w:p>
        </w:tc>
        <w:tc>
          <w:tcPr>
            <w:tcW w:w="4500" w:type="dxa"/>
            <w:shd w:val="clear" w:color="auto" w:fill="E7F3EA"/>
            <w:tcMar>
              <w:top w:w="80" w:type="dxa"/>
              <w:left w:w="150" w:type="dxa"/>
              <w:bottom w:w="80" w:type="dxa"/>
              <w:right w:w="150" w:type="dxa"/>
            </w:tcMar>
          </w:tcPr>
          <w:p w14:paraId="5C813EC3" w14:textId="77777777" w:rsidR="00255742" w:rsidRDefault="00000000">
            <w:pPr>
              <w:spacing w:line="252" w:lineRule="auto"/>
            </w:pPr>
            <w:r>
              <w:rPr>
                <w:rFonts w:ascii="Calibri" w:eastAsia="Calibri" w:hAnsi="Calibri" w:cs="Calibri"/>
                <w:color w:val="17472A"/>
              </w:rPr>
              <w:t>•  Structured empathy and testimony-based learning</w:t>
            </w:r>
          </w:p>
        </w:tc>
      </w:tr>
      <w:tr w:rsidR="00255742" w14:paraId="55FA2B12"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0777B015" w14:textId="77777777" w:rsidR="00255742" w:rsidRDefault="00000000">
            <w:pPr>
              <w:spacing w:line="252" w:lineRule="auto"/>
            </w:pPr>
            <w:r>
              <w:rPr>
                <w:rFonts w:ascii="Calibri" w:eastAsia="Calibri" w:hAnsi="Calibri" w:cs="Calibri"/>
                <w:color w:val="5C1A10"/>
              </w:rPr>
              <w:t>•  Graphic content delivered without structured discussion</w:t>
            </w:r>
          </w:p>
        </w:tc>
        <w:tc>
          <w:tcPr>
            <w:tcW w:w="4500" w:type="dxa"/>
            <w:shd w:val="clear" w:color="auto" w:fill="E7F3EA"/>
            <w:tcMar>
              <w:top w:w="80" w:type="dxa"/>
              <w:left w:w="150" w:type="dxa"/>
              <w:bottom w:w="80" w:type="dxa"/>
              <w:right w:w="150" w:type="dxa"/>
            </w:tcMar>
          </w:tcPr>
          <w:p w14:paraId="15AAD6AB" w14:textId="77777777" w:rsidR="00255742" w:rsidRDefault="00000000">
            <w:pPr>
              <w:spacing w:line="252" w:lineRule="auto"/>
            </w:pPr>
            <w:r>
              <w:rPr>
                <w:rFonts w:ascii="Calibri" w:eastAsia="Calibri" w:hAnsi="Calibri" w:cs="Calibri"/>
                <w:color w:val="17472A"/>
              </w:rPr>
              <w:t>•  Local heritage engagement and site visits (Stefaniak &amp; Bilewicz, Poland)</w:t>
            </w:r>
          </w:p>
        </w:tc>
      </w:tr>
    </w:tbl>
    <w:p w14:paraId="79534048" w14:textId="77777777" w:rsidR="00255742" w:rsidRDefault="00255742">
      <w:pPr>
        <w:spacing w:before="160" w:after="160"/>
      </w:pPr>
    </w:p>
    <w:p w14:paraId="09D5F5D5" w14:textId="77777777" w:rsidR="00255742" w:rsidRDefault="00000000">
      <w:pPr>
        <w:spacing w:after="160" w:line="276" w:lineRule="auto"/>
      </w:pPr>
      <w:r>
        <w:rPr>
          <w:rFonts w:ascii="Calibri" w:eastAsia="Calibri" w:hAnsi="Calibri" w:cs="Calibri"/>
          <w:sz w:val="22"/>
          <w:szCs w:val="22"/>
        </w:rPr>
        <w:t xml:space="preserve">A 2026 study of a Greek </w:t>
      </w:r>
      <w:proofErr w:type="gramStart"/>
      <w:r>
        <w:rPr>
          <w:rFonts w:ascii="Calibri" w:eastAsia="Calibri" w:hAnsi="Calibri" w:cs="Calibri"/>
          <w:sz w:val="22"/>
          <w:szCs w:val="22"/>
        </w:rPr>
        <w:t>schools</w:t>
      </w:r>
      <w:proofErr w:type="gramEnd"/>
      <w:r>
        <w:rPr>
          <w:rFonts w:ascii="Calibri" w:eastAsia="Calibri" w:hAnsi="Calibri" w:cs="Calibri"/>
          <w:sz w:val="22"/>
          <w:szCs w:val="22"/>
        </w:rPr>
        <w:t xml:space="preserve"> intervention reaffirms a long-standing finding: programs that combine historical transmission with structured memory practice (rather than either alone) show the strongest and most durable engagement, but even these authors note that most national programs still default to commemoration-only models with limited follow-up.</w:t>
      </w:r>
    </w:p>
    <w:p w14:paraId="7044A09A"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2. Intergroup Contact and Perspective-Taking</w:t>
      </w:r>
    </w:p>
    <w:p w14:paraId="13D224F1" w14:textId="77777777" w:rsidR="00255742" w:rsidRDefault="00000000">
      <w:pPr>
        <w:spacing w:after="160" w:line="276" w:lineRule="auto"/>
      </w:pPr>
      <w:r>
        <w:rPr>
          <w:rFonts w:ascii="Calibri" w:eastAsia="Calibri" w:hAnsi="Calibri" w:cs="Calibri"/>
          <w:sz w:val="22"/>
          <w:szCs w:val="22"/>
        </w:rPr>
        <w:t xml:space="preserve">Intergroup contact — when properly structured — remains the most robustly supported mechanism for prejudice reduction across the social psychology literature. A meta-analysis of 515 studies found contact with an outgroup correlates with lower prejudice (r = −.21) across diverse societies, and the effect appears to </w:t>
      </w:r>
      <w:r>
        <w:rPr>
          <w:rFonts w:ascii="Calibri" w:eastAsia="Calibri" w:hAnsi="Calibri" w:cs="Calibri"/>
          <w:sz w:val="22"/>
          <w:szCs w:val="22"/>
        </w:rPr>
        <w:lastRenderedPageBreak/>
        <w:t xml:space="preserve">be causal. Applied to antisemitism specifically, both </w:t>
      </w:r>
      <w:proofErr w:type="gramStart"/>
      <w:r>
        <w:rPr>
          <w:rFonts w:ascii="Calibri" w:eastAsia="Calibri" w:hAnsi="Calibri" w:cs="Calibri"/>
          <w:sz w:val="22"/>
          <w:szCs w:val="22"/>
        </w:rPr>
        <w:t>direct contact with</w:t>
      </w:r>
      <w:proofErr w:type="gramEnd"/>
      <w:r>
        <w:rPr>
          <w:rFonts w:ascii="Calibri" w:eastAsia="Calibri" w:hAnsi="Calibri" w:cs="Calibri"/>
          <w:sz w:val="22"/>
          <w:szCs w:val="22"/>
        </w:rPr>
        <w:t xml:space="preserve"> Jewish peers and structured perspective-taking exercises produce measurable attitudinal and behavioural change.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255742" w14:paraId="17D4572F" w14:textId="77777777">
        <w:tblPrEx>
          <w:tblCellMar>
            <w:top w:w="0" w:type="dxa"/>
            <w:bottom w:w="0" w:type="dxa"/>
          </w:tblCellMar>
        </w:tblPrEx>
        <w:trPr>
          <w:tblHeader/>
        </w:trPr>
        <w:tc>
          <w:tcPr>
            <w:tcW w:w="4500" w:type="dxa"/>
            <w:shd w:val="clear" w:color="auto" w:fill="1F3864"/>
            <w:tcMar>
              <w:top w:w="100" w:type="dxa"/>
              <w:left w:w="150" w:type="dxa"/>
              <w:bottom w:w="100" w:type="dxa"/>
              <w:right w:w="150" w:type="dxa"/>
            </w:tcMar>
          </w:tcPr>
          <w:p w14:paraId="7FDFE1BA" w14:textId="77777777" w:rsidR="00255742" w:rsidRDefault="00000000">
            <w:proofErr w:type="gramStart"/>
            <w:r>
              <w:rPr>
                <w:rFonts w:ascii="Calibri" w:eastAsia="Calibri" w:hAnsi="Calibri" w:cs="Calibri"/>
                <w:b/>
                <w:bCs/>
                <w:color w:val="FFFFFF"/>
                <w:sz w:val="21"/>
                <w:szCs w:val="21"/>
              </w:rPr>
              <w:t>✗  Less</w:t>
            </w:r>
            <w:proofErr w:type="gramEnd"/>
            <w:r>
              <w:rPr>
                <w:rFonts w:ascii="Calibri" w:eastAsia="Calibri" w:hAnsi="Calibri" w:cs="Calibri"/>
                <w:b/>
                <w:bCs/>
                <w:color w:val="FFFFFF"/>
                <w:sz w:val="21"/>
                <w:szCs w:val="21"/>
              </w:rPr>
              <w:t xml:space="preserve"> Successful Practices</w:t>
            </w:r>
          </w:p>
        </w:tc>
        <w:tc>
          <w:tcPr>
            <w:tcW w:w="4500" w:type="dxa"/>
            <w:shd w:val="clear" w:color="auto" w:fill="1F3864"/>
            <w:tcMar>
              <w:top w:w="100" w:type="dxa"/>
              <w:left w:w="150" w:type="dxa"/>
              <w:bottom w:w="100" w:type="dxa"/>
              <w:right w:w="150" w:type="dxa"/>
            </w:tcMar>
          </w:tcPr>
          <w:p w14:paraId="4AE394E8" w14:textId="77777777" w:rsidR="00255742" w:rsidRDefault="00000000">
            <w:proofErr w:type="gramStart"/>
            <w:r>
              <w:rPr>
                <w:rFonts w:ascii="Calibri" w:eastAsia="Calibri" w:hAnsi="Calibri" w:cs="Calibri"/>
                <w:b/>
                <w:bCs/>
                <w:color w:val="FFFFFF"/>
                <w:sz w:val="21"/>
                <w:szCs w:val="21"/>
              </w:rPr>
              <w:t>✓  More</w:t>
            </w:r>
            <w:proofErr w:type="gramEnd"/>
            <w:r>
              <w:rPr>
                <w:rFonts w:ascii="Calibri" w:eastAsia="Calibri" w:hAnsi="Calibri" w:cs="Calibri"/>
                <w:b/>
                <w:bCs/>
                <w:color w:val="FFFFFF"/>
                <w:sz w:val="21"/>
                <w:szCs w:val="21"/>
              </w:rPr>
              <w:t xml:space="preserve"> Successful Practices</w:t>
            </w:r>
          </w:p>
        </w:tc>
      </w:tr>
      <w:tr w:rsidR="00255742" w14:paraId="2C02A09A"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482163D1" w14:textId="77777777" w:rsidR="00255742" w:rsidRDefault="00000000">
            <w:pPr>
              <w:spacing w:line="252" w:lineRule="auto"/>
            </w:pPr>
            <w:r>
              <w:rPr>
                <w:rFonts w:ascii="Calibri" w:eastAsia="Calibri" w:hAnsi="Calibri" w:cs="Calibri"/>
                <w:color w:val="5C1A10"/>
              </w:rPr>
              <w:t>•  Unstructured or incidental contact without equal-status conditions</w:t>
            </w:r>
          </w:p>
        </w:tc>
        <w:tc>
          <w:tcPr>
            <w:tcW w:w="4500" w:type="dxa"/>
            <w:shd w:val="clear" w:color="auto" w:fill="E7F3EA"/>
            <w:tcMar>
              <w:top w:w="80" w:type="dxa"/>
              <w:left w:w="150" w:type="dxa"/>
              <w:bottom w:w="80" w:type="dxa"/>
              <w:right w:w="150" w:type="dxa"/>
            </w:tcMar>
          </w:tcPr>
          <w:p w14:paraId="43FF162D" w14:textId="77777777" w:rsidR="00255742" w:rsidRDefault="00000000">
            <w:pPr>
              <w:spacing w:line="252" w:lineRule="auto"/>
            </w:pPr>
            <w:r>
              <w:rPr>
                <w:rFonts w:ascii="Calibri" w:eastAsia="Calibri" w:hAnsi="Calibri" w:cs="Calibri"/>
                <w:color w:val="17472A"/>
              </w:rPr>
              <w:t>•  Structured, equal-status, cooperative-task contact under institutional support</w:t>
            </w:r>
          </w:p>
        </w:tc>
      </w:tr>
      <w:tr w:rsidR="00255742" w14:paraId="0B8F36BA"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7BD80F21" w14:textId="77777777" w:rsidR="00255742" w:rsidRDefault="00000000">
            <w:pPr>
              <w:spacing w:line="252" w:lineRule="auto"/>
            </w:pPr>
            <w:r>
              <w:rPr>
                <w:rFonts w:ascii="Calibri" w:eastAsia="Calibri" w:hAnsi="Calibri" w:cs="Calibri"/>
                <w:color w:val="5C1A10"/>
              </w:rPr>
              <w:t>•  Contact under conditions of intergroup competition or status inequality</w:t>
            </w:r>
          </w:p>
        </w:tc>
        <w:tc>
          <w:tcPr>
            <w:tcW w:w="4500" w:type="dxa"/>
            <w:shd w:val="clear" w:color="auto" w:fill="E7F3EA"/>
            <w:tcMar>
              <w:top w:w="80" w:type="dxa"/>
              <w:left w:w="150" w:type="dxa"/>
              <w:bottom w:w="80" w:type="dxa"/>
              <w:right w:w="150" w:type="dxa"/>
            </w:tcMar>
          </w:tcPr>
          <w:p w14:paraId="2AC9675D" w14:textId="77777777" w:rsidR="00255742" w:rsidRDefault="00000000">
            <w:pPr>
              <w:spacing w:line="252" w:lineRule="auto"/>
            </w:pPr>
            <w:r>
              <w:rPr>
                <w:rFonts w:ascii="Calibri" w:eastAsia="Calibri" w:hAnsi="Calibri" w:cs="Calibri"/>
                <w:color w:val="17472A"/>
              </w:rPr>
              <w:t>•  Perspective-getting: actively taking the role of a person experiencing discrimination</w:t>
            </w:r>
          </w:p>
        </w:tc>
      </w:tr>
      <w:tr w:rsidR="00255742" w14:paraId="2D4F0867"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10332C2E" w14:textId="77777777" w:rsidR="00255742" w:rsidRDefault="00000000">
            <w:pPr>
              <w:spacing w:line="252" w:lineRule="auto"/>
            </w:pPr>
            <w:r>
              <w:rPr>
                <w:rFonts w:ascii="Calibri" w:eastAsia="Calibri" w:hAnsi="Calibri" w:cs="Calibri"/>
                <w:color w:val="5C1A10"/>
              </w:rPr>
              <w:t xml:space="preserve">•  Shallow 'celebration of diversity' exercises that </w:t>
            </w:r>
            <w:proofErr w:type="spellStart"/>
            <w:r>
              <w:rPr>
                <w:rFonts w:ascii="Calibri" w:eastAsia="Calibri" w:hAnsi="Calibri" w:cs="Calibri"/>
                <w:color w:val="5C1A10"/>
              </w:rPr>
              <w:t>exoticise</w:t>
            </w:r>
            <w:proofErr w:type="spellEnd"/>
            <w:r>
              <w:rPr>
                <w:rFonts w:ascii="Calibri" w:eastAsia="Calibri" w:hAnsi="Calibri" w:cs="Calibri"/>
                <w:color w:val="5C1A10"/>
              </w:rPr>
              <w:t xml:space="preserve"> Jewish identity</w:t>
            </w:r>
          </w:p>
        </w:tc>
        <w:tc>
          <w:tcPr>
            <w:tcW w:w="4500" w:type="dxa"/>
            <w:shd w:val="clear" w:color="auto" w:fill="E7F3EA"/>
            <w:tcMar>
              <w:top w:w="80" w:type="dxa"/>
              <w:left w:w="150" w:type="dxa"/>
              <w:bottom w:w="80" w:type="dxa"/>
              <w:right w:w="150" w:type="dxa"/>
            </w:tcMar>
          </w:tcPr>
          <w:p w14:paraId="16329371" w14:textId="77777777" w:rsidR="00255742" w:rsidRDefault="00000000">
            <w:pPr>
              <w:spacing w:line="252" w:lineRule="auto"/>
            </w:pPr>
            <w:r>
              <w:rPr>
                <w:rFonts w:ascii="Calibri" w:eastAsia="Calibri" w:hAnsi="Calibri" w:cs="Calibri"/>
                <w:color w:val="17472A"/>
              </w:rPr>
              <w:t>•  Imagined contact protocols where direct contact is unavailable</w:t>
            </w:r>
          </w:p>
        </w:tc>
      </w:tr>
      <w:tr w:rsidR="00255742" w14:paraId="74F63031"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4C0233A7" w14:textId="77777777" w:rsidR="00255742" w:rsidRDefault="00000000">
            <w:pPr>
              <w:spacing w:line="252" w:lineRule="auto"/>
            </w:pPr>
            <w:r>
              <w:rPr>
                <w:rFonts w:ascii="Calibri" w:eastAsia="Calibri" w:hAnsi="Calibri" w:cs="Calibri"/>
                <w:color w:val="5C1A10"/>
              </w:rPr>
              <w:t>•  Placing the burden of education on those who experience discrimination</w:t>
            </w:r>
          </w:p>
        </w:tc>
        <w:tc>
          <w:tcPr>
            <w:tcW w:w="4500" w:type="dxa"/>
            <w:shd w:val="clear" w:color="auto" w:fill="E7F3EA"/>
            <w:tcMar>
              <w:top w:w="80" w:type="dxa"/>
              <w:left w:w="150" w:type="dxa"/>
              <w:bottom w:w="80" w:type="dxa"/>
              <w:right w:w="150" w:type="dxa"/>
            </w:tcMar>
          </w:tcPr>
          <w:p w14:paraId="0B847E83" w14:textId="77777777" w:rsidR="00255742" w:rsidRDefault="00000000">
            <w:pPr>
              <w:spacing w:line="252" w:lineRule="auto"/>
            </w:pPr>
            <w:r>
              <w:rPr>
                <w:rFonts w:ascii="Calibri" w:eastAsia="Calibri" w:hAnsi="Calibri" w:cs="Calibri"/>
                <w:color w:val="17472A"/>
              </w:rPr>
              <w:t>•  Extended contact: normalising cross-group friendship through narrative and social environment</w:t>
            </w:r>
          </w:p>
        </w:tc>
      </w:tr>
    </w:tbl>
    <w:p w14:paraId="23A3C861" w14:textId="77777777" w:rsidR="00255742" w:rsidRDefault="00255742">
      <w:pPr>
        <w:spacing w:before="160" w:after="160"/>
      </w:pPr>
    </w:p>
    <w:tbl>
      <w:tblPr>
        <w:tblW w:w="5000" w:type="pct"/>
        <w:tblBorders>
          <w:top w:val="single" w:sz="4" w:space="0" w:color="9AA7C7"/>
          <w:left w:val="single" w:sz="4" w:space="0" w:color="9AA7C7"/>
          <w:bottom w:val="single" w:sz="4" w:space="0" w:color="9AA7C7"/>
          <w:right w:val="single" w:sz="4" w:space="0" w:color="9AA7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36"/>
      </w:tblGrid>
      <w:tr w:rsidR="00255742" w14:paraId="2134641D" w14:textId="77777777">
        <w:tblPrEx>
          <w:tblCellMar>
            <w:top w:w="0" w:type="dxa"/>
            <w:bottom w:w="0" w:type="dxa"/>
          </w:tblCellMar>
        </w:tblPrEx>
        <w:tc>
          <w:tcPr>
            <w:tcW w:w="0" w:type="auto"/>
            <w:shd w:val="clear" w:color="auto" w:fill="EEF1F8"/>
            <w:tcMar>
              <w:top w:w="160" w:type="dxa"/>
              <w:left w:w="200" w:type="dxa"/>
              <w:bottom w:w="160" w:type="dxa"/>
              <w:right w:w="200" w:type="dxa"/>
            </w:tcMar>
          </w:tcPr>
          <w:p w14:paraId="5D4AFF63" w14:textId="77777777" w:rsidR="00255742" w:rsidRDefault="00000000">
            <w:pPr>
              <w:spacing w:line="264" w:lineRule="auto"/>
            </w:pPr>
            <w:r>
              <w:rPr>
                <w:rFonts w:ascii="Calibri" w:eastAsia="Calibri" w:hAnsi="Calibri" w:cs="Calibri"/>
                <w:b/>
                <w:bCs/>
                <w:i/>
                <w:iCs/>
                <w:color w:val="2E5395"/>
                <w:sz w:val="21"/>
                <w:szCs w:val="21"/>
              </w:rPr>
              <w:t xml:space="preserve">Note for educators: </w:t>
            </w:r>
            <w:r>
              <w:rPr>
                <w:rFonts w:ascii="Calibri" w:eastAsia="Calibri" w:hAnsi="Calibri" w:cs="Calibri"/>
                <w:i/>
                <w:iCs/>
                <w:sz w:val="21"/>
                <w:szCs w:val="21"/>
              </w:rPr>
              <w:t>For schools in communities with few or no Jewish students, perspective-taking exercises and imagined-contact protocols are realistic, evidence-supported alternatives to direct contact. Testimony platforms, film, and structured narrative work can fulfil an equivalent function.</w:t>
            </w:r>
          </w:p>
        </w:tc>
      </w:tr>
    </w:tbl>
    <w:p w14:paraId="71F17CA1"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3. Media Literacy and Counter-Conspiracy Education</w:t>
      </w:r>
    </w:p>
    <w:p w14:paraId="5847335C" w14:textId="77777777" w:rsidR="00255742" w:rsidRDefault="00000000">
      <w:pPr>
        <w:spacing w:after="160" w:line="276" w:lineRule="auto"/>
      </w:pPr>
      <w:r>
        <w:rPr>
          <w:rFonts w:ascii="Calibri" w:eastAsia="Calibri" w:hAnsi="Calibri" w:cs="Calibri"/>
          <w:sz w:val="22"/>
          <w:szCs w:val="22"/>
        </w:rPr>
        <w:t>Online antisemitism is now the primary vector through which young people encounter anti-Jewish content, and conspiracy narratives — structurally central to antisemitism since the 19th century — circulate rapidly and largely without contextualisation.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255742" w14:paraId="71E6451A" w14:textId="77777777">
        <w:tblPrEx>
          <w:tblCellMar>
            <w:top w:w="0" w:type="dxa"/>
            <w:bottom w:w="0" w:type="dxa"/>
          </w:tblCellMar>
        </w:tblPrEx>
        <w:trPr>
          <w:tblHeader/>
        </w:trPr>
        <w:tc>
          <w:tcPr>
            <w:tcW w:w="4500" w:type="dxa"/>
            <w:shd w:val="clear" w:color="auto" w:fill="1F3864"/>
            <w:tcMar>
              <w:top w:w="100" w:type="dxa"/>
              <w:left w:w="150" w:type="dxa"/>
              <w:bottom w:w="100" w:type="dxa"/>
              <w:right w:w="150" w:type="dxa"/>
            </w:tcMar>
          </w:tcPr>
          <w:p w14:paraId="3E8A2877" w14:textId="77777777" w:rsidR="00255742" w:rsidRDefault="00000000">
            <w:proofErr w:type="gramStart"/>
            <w:r>
              <w:rPr>
                <w:rFonts w:ascii="Calibri" w:eastAsia="Calibri" w:hAnsi="Calibri" w:cs="Calibri"/>
                <w:b/>
                <w:bCs/>
                <w:color w:val="FFFFFF"/>
                <w:sz w:val="21"/>
                <w:szCs w:val="21"/>
              </w:rPr>
              <w:t>✗  Less</w:t>
            </w:r>
            <w:proofErr w:type="gramEnd"/>
            <w:r>
              <w:rPr>
                <w:rFonts w:ascii="Calibri" w:eastAsia="Calibri" w:hAnsi="Calibri" w:cs="Calibri"/>
                <w:b/>
                <w:bCs/>
                <w:color w:val="FFFFFF"/>
                <w:sz w:val="21"/>
                <w:szCs w:val="21"/>
              </w:rPr>
              <w:t xml:space="preserve"> Successful Practices</w:t>
            </w:r>
          </w:p>
        </w:tc>
        <w:tc>
          <w:tcPr>
            <w:tcW w:w="4500" w:type="dxa"/>
            <w:shd w:val="clear" w:color="auto" w:fill="1F3864"/>
            <w:tcMar>
              <w:top w:w="100" w:type="dxa"/>
              <w:left w:w="150" w:type="dxa"/>
              <w:bottom w:w="100" w:type="dxa"/>
              <w:right w:w="150" w:type="dxa"/>
            </w:tcMar>
          </w:tcPr>
          <w:p w14:paraId="553F211D" w14:textId="77777777" w:rsidR="00255742" w:rsidRDefault="00000000">
            <w:proofErr w:type="gramStart"/>
            <w:r>
              <w:rPr>
                <w:rFonts w:ascii="Calibri" w:eastAsia="Calibri" w:hAnsi="Calibri" w:cs="Calibri"/>
                <w:b/>
                <w:bCs/>
                <w:color w:val="FFFFFF"/>
                <w:sz w:val="21"/>
                <w:szCs w:val="21"/>
              </w:rPr>
              <w:t>✓  More</w:t>
            </w:r>
            <w:proofErr w:type="gramEnd"/>
            <w:r>
              <w:rPr>
                <w:rFonts w:ascii="Calibri" w:eastAsia="Calibri" w:hAnsi="Calibri" w:cs="Calibri"/>
                <w:b/>
                <w:bCs/>
                <w:color w:val="FFFFFF"/>
                <w:sz w:val="21"/>
                <w:szCs w:val="21"/>
              </w:rPr>
              <w:t xml:space="preserve"> Successful Practices</w:t>
            </w:r>
          </w:p>
        </w:tc>
      </w:tr>
      <w:tr w:rsidR="00255742" w14:paraId="2D420347"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29F5E20B" w14:textId="77777777" w:rsidR="00255742" w:rsidRDefault="00000000">
            <w:pPr>
              <w:spacing w:line="252" w:lineRule="auto"/>
            </w:pPr>
            <w:r>
              <w:rPr>
                <w:rFonts w:ascii="Calibri" w:eastAsia="Calibri" w:hAnsi="Calibri" w:cs="Calibri"/>
                <w:color w:val="5C1A10"/>
              </w:rPr>
              <w:t>•  Direct refutation of specific antisemitic claims (risks the 'backfire effect')</w:t>
            </w:r>
          </w:p>
        </w:tc>
        <w:tc>
          <w:tcPr>
            <w:tcW w:w="4500" w:type="dxa"/>
            <w:shd w:val="clear" w:color="auto" w:fill="E7F3EA"/>
            <w:tcMar>
              <w:top w:w="80" w:type="dxa"/>
              <w:left w:w="150" w:type="dxa"/>
              <w:bottom w:w="80" w:type="dxa"/>
              <w:right w:w="150" w:type="dxa"/>
            </w:tcMar>
          </w:tcPr>
          <w:p w14:paraId="58ED938A" w14:textId="77777777" w:rsidR="00255742" w:rsidRDefault="00000000">
            <w:pPr>
              <w:spacing w:line="252" w:lineRule="auto"/>
            </w:pPr>
            <w:r>
              <w:rPr>
                <w:rFonts w:ascii="Calibri" w:eastAsia="Calibri" w:hAnsi="Calibri" w:cs="Calibri"/>
                <w:color w:val="17472A"/>
              </w:rPr>
              <w:t xml:space="preserve">•  </w:t>
            </w:r>
            <w:proofErr w:type="spellStart"/>
            <w:r>
              <w:rPr>
                <w:rFonts w:ascii="Calibri" w:eastAsia="Calibri" w:hAnsi="Calibri" w:cs="Calibri"/>
                <w:color w:val="17472A"/>
              </w:rPr>
              <w:t>Prebunking</w:t>
            </w:r>
            <w:proofErr w:type="spellEnd"/>
            <w:r>
              <w:rPr>
                <w:rFonts w:ascii="Calibri" w:eastAsia="Calibri" w:hAnsi="Calibri" w:cs="Calibri"/>
                <w:color w:val="17472A"/>
              </w:rPr>
              <w:t xml:space="preserve"> / inoculation: teaching the logic of conspiracy narratives before exposure</w:t>
            </w:r>
          </w:p>
        </w:tc>
      </w:tr>
      <w:tr w:rsidR="00255742" w14:paraId="5C2D5569"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58849515" w14:textId="77777777" w:rsidR="00255742" w:rsidRDefault="00000000">
            <w:pPr>
              <w:spacing w:line="252" w:lineRule="auto"/>
            </w:pPr>
            <w:r>
              <w:rPr>
                <w:rFonts w:ascii="Calibri" w:eastAsia="Calibri" w:hAnsi="Calibri" w:cs="Calibri"/>
                <w:color w:val="5C1A10"/>
              </w:rPr>
              <w:t>•  Content moderation taught as the primary classroom response</w:t>
            </w:r>
          </w:p>
        </w:tc>
        <w:tc>
          <w:tcPr>
            <w:tcW w:w="4500" w:type="dxa"/>
            <w:shd w:val="clear" w:color="auto" w:fill="E7F3EA"/>
            <w:tcMar>
              <w:top w:w="80" w:type="dxa"/>
              <w:left w:w="150" w:type="dxa"/>
              <w:bottom w:w="80" w:type="dxa"/>
              <w:right w:w="150" w:type="dxa"/>
            </w:tcMar>
          </w:tcPr>
          <w:p w14:paraId="71581BBF" w14:textId="77777777" w:rsidR="00255742" w:rsidRDefault="00000000">
            <w:pPr>
              <w:spacing w:line="252" w:lineRule="auto"/>
            </w:pPr>
            <w:r>
              <w:rPr>
                <w:rFonts w:ascii="Calibri" w:eastAsia="Calibri" w:hAnsi="Calibri" w:cs="Calibri"/>
                <w:color w:val="17472A"/>
              </w:rPr>
              <w:t>•  Lateral reading and source-evaluation skills (as used by professional fact-checkers)</w:t>
            </w:r>
          </w:p>
        </w:tc>
      </w:tr>
      <w:tr w:rsidR="00255742" w14:paraId="7608824F"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5232940E" w14:textId="77777777" w:rsidR="00255742" w:rsidRDefault="00000000">
            <w:pPr>
              <w:spacing w:line="252" w:lineRule="auto"/>
            </w:pPr>
            <w:r>
              <w:rPr>
                <w:rFonts w:ascii="Calibri" w:eastAsia="Calibri" w:hAnsi="Calibri" w:cs="Calibri"/>
                <w:color w:val="5C1A10"/>
              </w:rPr>
              <w:t>•  Treating online hate as disconnected from its historical antecedents</w:t>
            </w:r>
          </w:p>
        </w:tc>
        <w:tc>
          <w:tcPr>
            <w:tcW w:w="4500" w:type="dxa"/>
            <w:shd w:val="clear" w:color="auto" w:fill="E7F3EA"/>
            <w:tcMar>
              <w:top w:w="80" w:type="dxa"/>
              <w:left w:w="150" w:type="dxa"/>
              <w:bottom w:w="80" w:type="dxa"/>
              <w:right w:w="150" w:type="dxa"/>
            </w:tcMar>
          </w:tcPr>
          <w:p w14:paraId="7966C109" w14:textId="77777777" w:rsidR="00255742" w:rsidRDefault="00000000">
            <w:pPr>
              <w:spacing w:line="252" w:lineRule="auto"/>
            </w:pPr>
            <w:r>
              <w:rPr>
                <w:rFonts w:ascii="Calibri" w:eastAsia="Calibri" w:hAnsi="Calibri" w:cs="Calibri"/>
                <w:color w:val="17472A"/>
              </w:rPr>
              <w:t>•  Tracing digital tropes (e.g. 'global elite' narratives) to historical antecedents such as the Protocols of the Elders of Zion</w:t>
            </w:r>
          </w:p>
        </w:tc>
      </w:tr>
      <w:tr w:rsidR="00255742" w14:paraId="0A03DDC4"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3F7BFD45" w14:textId="77777777" w:rsidR="00255742" w:rsidRDefault="00000000">
            <w:pPr>
              <w:spacing w:line="252" w:lineRule="auto"/>
            </w:pPr>
            <w:r>
              <w:rPr>
                <w:rFonts w:ascii="Calibri" w:eastAsia="Calibri" w:hAnsi="Calibri" w:cs="Calibri"/>
                <w:color w:val="5C1A10"/>
              </w:rPr>
              <w:t>•  Passive consumption and avoidance strategies</w:t>
            </w:r>
          </w:p>
        </w:tc>
        <w:tc>
          <w:tcPr>
            <w:tcW w:w="4500" w:type="dxa"/>
            <w:shd w:val="clear" w:color="auto" w:fill="E7F3EA"/>
            <w:tcMar>
              <w:top w:w="80" w:type="dxa"/>
              <w:left w:w="150" w:type="dxa"/>
              <w:bottom w:w="80" w:type="dxa"/>
              <w:right w:w="150" w:type="dxa"/>
            </w:tcMar>
          </w:tcPr>
          <w:p w14:paraId="12B0218D" w14:textId="77777777" w:rsidR="00255742" w:rsidRDefault="00000000">
            <w:pPr>
              <w:spacing w:line="252" w:lineRule="auto"/>
            </w:pPr>
            <w:r>
              <w:rPr>
                <w:rFonts w:ascii="Calibri" w:eastAsia="Calibri" w:hAnsi="Calibri" w:cs="Calibri"/>
                <w:color w:val="17472A"/>
              </w:rPr>
              <w:t>•  Historical propaganda as an analytical case study (USHMM, ADL, Yad Vashem resources)</w:t>
            </w:r>
          </w:p>
        </w:tc>
      </w:tr>
      <w:tr w:rsidR="00255742" w14:paraId="519B9CBE"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515F5CE1" w14:textId="77777777" w:rsidR="00255742" w:rsidRDefault="00255742">
            <w:pPr>
              <w:spacing w:line="252" w:lineRule="auto"/>
            </w:pPr>
          </w:p>
        </w:tc>
        <w:tc>
          <w:tcPr>
            <w:tcW w:w="4500" w:type="dxa"/>
            <w:shd w:val="clear" w:color="auto" w:fill="E7F3EA"/>
            <w:tcMar>
              <w:top w:w="80" w:type="dxa"/>
              <w:left w:w="150" w:type="dxa"/>
              <w:bottom w:w="80" w:type="dxa"/>
              <w:right w:w="150" w:type="dxa"/>
            </w:tcMar>
          </w:tcPr>
          <w:p w14:paraId="527AF1D0" w14:textId="77777777" w:rsidR="00255742" w:rsidRDefault="00000000">
            <w:pPr>
              <w:spacing w:line="252" w:lineRule="auto"/>
            </w:pPr>
            <w:r>
              <w:rPr>
                <w:rFonts w:ascii="Calibri" w:eastAsia="Calibri" w:hAnsi="Calibri" w:cs="Calibri"/>
                <w:color w:val="17472A"/>
              </w:rPr>
              <w:t>•  Algorithmic literacy: understanding how recommendation systems amplify fringe content</w:t>
            </w:r>
          </w:p>
        </w:tc>
      </w:tr>
    </w:tbl>
    <w:p w14:paraId="59D8F93E"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4. Institutional and Systemic Dimensions</w:t>
      </w:r>
    </w:p>
    <w:p w14:paraId="73DE9FA7" w14:textId="77777777" w:rsidR="00255742" w:rsidRDefault="00000000">
      <w:pPr>
        <w:spacing w:after="160" w:line="276" w:lineRule="auto"/>
      </w:pPr>
      <w:r>
        <w:rPr>
          <w:rFonts w:ascii="Calibri" w:eastAsia="Calibri" w:hAnsi="Calibri" w:cs="Calibri"/>
          <w:sz w:val="22"/>
          <w:szCs w:val="22"/>
        </w:rPr>
        <w:t>Individual classroom practices operate within institutional environments. Pedagogical quality is necessary but not sufficient: the school or university climate, the posture of leadership, and the presence of clear, consistently enforced policies all shape whether educational interventions succeed or fail.</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255742" w14:paraId="5A083373" w14:textId="77777777">
        <w:tblPrEx>
          <w:tblCellMar>
            <w:top w:w="0" w:type="dxa"/>
            <w:bottom w:w="0" w:type="dxa"/>
          </w:tblCellMar>
        </w:tblPrEx>
        <w:trPr>
          <w:tblHeader/>
        </w:trPr>
        <w:tc>
          <w:tcPr>
            <w:tcW w:w="4500" w:type="dxa"/>
            <w:shd w:val="clear" w:color="auto" w:fill="1F3864"/>
            <w:tcMar>
              <w:top w:w="100" w:type="dxa"/>
              <w:left w:w="150" w:type="dxa"/>
              <w:bottom w:w="100" w:type="dxa"/>
              <w:right w:w="150" w:type="dxa"/>
            </w:tcMar>
          </w:tcPr>
          <w:p w14:paraId="3E9FCB98" w14:textId="77777777" w:rsidR="00255742" w:rsidRDefault="00000000">
            <w:proofErr w:type="gramStart"/>
            <w:r>
              <w:rPr>
                <w:rFonts w:ascii="Calibri" w:eastAsia="Calibri" w:hAnsi="Calibri" w:cs="Calibri"/>
                <w:b/>
                <w:bCs/>
                <w:color w:val="FFFFFF"/>
                <w:sz w:val="21"/>
                <w:szCs w:val="21"/>
              </w:rPr>
              <w:lastRenderedPageBreak/>
              <w:t>✗  Less</w:t>
            </w:r>
            <w:proofErr w:type="gramEnd"/>
            <w:r>
              <w:rPr>
                <w:rFonts w:ascii="Calibri" w:eastAsia="Calibri" w:hAnsi="Calibri" w:cs="Calibri"/>
                <w:b/>
                <w:bCs/>
                <w:color w:val="FFFFFF"/>
                <w:sz w:val="21"/>
                <w:szCs w:val="21"/>
              </w:rPr>
              <w:t xml:space="preserve"> Successful Practices</w:t>
            </w:r>
          </w:p>
        </w:tc>
        <w:tc>
          <w:tcPr>
            <w:tcW w:w="4500" w:type="dxa"/>
            <w:shd w:val="clear" w:color="auto" w:fill="1F3864"/>
            <w:tcMar>
              <w:top w:w="100" w:type="dxa"/>
              <w:left w:w="150" w:type="dxa"/>
              <w:bottom w:w="100" w:type="dxa"/>
              <w:right w:w="150" w:type="dxa"/>
            </w:tcMar>
          </w:tcPr>
          <w:p w14:paraId="13525EB6" w14:textId="77777777" w:rsidR="00255742" w:rsidRDefault="00000000">
            <w:proofErr w:type="gramStart"/>
            <w:r>
              <w:rPr>
                <w:rFonts w:ascii="Calibri" w:eastAsia="Calibri" w:hAnsi="Calibri" w:cs="Calibri"/>
                <w:b/>
                <w:bCs/>
                <w:color w:val="FFFFFF"/>
                <w:sz w:val="21"/>
                <w:szCs w:val="21"/>
              </w:rPr>
              <w:t>✓  More</w:t>
            </w:r>
            <w:proofErr w:type="gramEnd"/>
            <w:r>
              <w:rPr>
                <w:rFonts w:ascii="Calibri" w:eastAsia="Calibri" w:hAnsi="Calibri" w:cs="Calibri"/>
                <w:b/>
                <w:bCs/>
                <w:color w:val="FFFFFF"/>
                <w:sz w:val="21"/>
                <w:szCs w:val="21"/>
              </w:rPr>
              <w:t xml:space="preserve"> Successful Practices</w:t>
            </w:r>
          </w:p>
        </w:tc>
      </w:tr>
      <w:tr w:rsidR="00255742" w14:paraId="054B9F4E"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07AA999F" w14:textId="77777777" w:rsidR="00255742" w:rsidRDefault="00000000">
            <w:pPr>
              <w:spacing w:line="252" w:lineRule="auto"/>
            </w:pPr>
            <w:r>
              <w:rPr>
                <w:rFonts w:ascii="Calibri" w:eastAsia="Calibri" w:hAnsi="Calibri" w:cs="Calibri"/>
                <w:color w:val="5C1A10"/>
              </w:rPr>
              <w:t>•  One-off commemoration events without institutional follow-through</w:t>
            </w:r>
          </w:p>
        </w:tc>
        <w:tc>
          <w:tcPr>
            <w:tcW w:w="4500" w:type="dxa"/>
            <w:shd w:val="clear" w:color="auto" w:fill="E7F3EA"/>
            <w:tcMar>
              <w:top w:w="80" w:type="dxa"/>
              <w:left w:w="150" w:type="dxa"/>
              <w:bottom w:w="80" w:type="dxa"/>
              <w:right w:w="150" w:type="dxa"/>
            </w:tcMar>
          </w:tcPr>
          <w:p w14:paraId="36D4303F" w14:textId="77777777" w:rsidR="00255742" w:rsidRDefault="00000000">
            <w:pPr>
              <w:spacing w:line="252" w:lineRule="auto"/>
            </w:pPr>
            <w:r>
              <w:rPr>
                <w:rFonts w:ascii="Calibri" w:eastAsia="Calibri" w:hAnsi="Calibri" w:cs="Calibri"/>
                <w:color w:val="17472A"/>
              </w:rPr>
              <w:t>•  Sustained curriculum integration across subjects and year levels</w:t>
            </w:r>
          </w:p>
        </w:tc>
      </w:tr>
      <w:tr w:rsidR="00255742" w14:paraId="02BC8706"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412B3293" w14:textId="77777777" w:rsidR="00255742" w:rsidRDefault="00000000">
            <w:pPr>
              <w:spacing w:line="252" w:lineRule="auto"/>
            </w:pPr>
            <w:r>
              <w:rPr>
                <w:rFonts w:ascii="Calibri" w:eastAsia="Calibri" w:hAnsi="Calibri" w:cs="Calibri"/>
                <w:color w:val="5C1A10"/>
              </w:rPr>
              <w:t>•  Reliance on individual teacher motivation rather than curriculum mandate</w:t>
            </w:r>
          </w:p>
        </w:tc>
        <w:tc>
          <w:tcPr>
            <w:tcW w:w="4500" w:type="dxa"/>
            <w:shd w:val="clear" w:color="auto" w:fill="E7F3EA"/>
            <w:tcMar>
              <w:top w:w="80" w:type="dxa"/>
              <w:left w:w="150" w:type="dxa"/>
              <w:bottom w:w="80" w:type="dxa"/>
              <w:right w:w="150" w:type="dxa"/>
            </w:tcMar>
          </w:tcPr>
          <w:p w14:paraId="314016EE" w14:textId="77777777" w:rsidR="00255742" w:rsidRDefault="00000000">
            <w:pPr>
              <w:spacing w:line="252" w:lineRule="auto"/>
            </w:pPr>
            <w:r>
              <w:rPr>
                <w:rFonts w:ascii="Calibri" w:eastAsia="Calibri" w:hAnsi="Calibri" w:cs="Calibri"/>
                <w:color w:val="17472A"/>
              </w:rPr>
              <w:t>•  Mandatory teacher training (UNESCO trained 1,300+ educators/policymakers, 2023–2025)</w:t>
            </w:r>
          </w:p>
        </w:tc>
      </w:tr>
      <w:tr w:rsidR="00255742" w14:paraId="7AE6C2E1"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1594AD80" w14:textId="77777777" w:rsidR="00255742" w:rsidRDefault="00000000">
            <w:pPr>
              <w:spacing w:line="252" w:lineRule="auto"/>
            </w:pPr>
            <w:r>
              <w:rPr>
                <w:rFonts w:ascii="Calibri" w:eastAsia="Calibri" w:hAnsi="Calibri" w:cs="Calibri"/>
                <w:color w:val="5C1A10"/>
              </w:rPr>
              <w:t>•  Quiet, confidential, or dismissive handling of incidents</w:t>
            </w:r>
          </w:p>
        </w:tc>
        <w:tc>
          <w:tcPr>
            <w:tcW w:w="4500" w:type="dxa"/>
            <w:shd w:val="clear" w:color="auto" w:fill="E7F3EA"/>
            <w:tcMar>
              <w:top w:w="80" w:type="dxa"/>
              <w:left w:w="150" w:type="dxa"/>
              <w:bottom w:w="80" w:type="dxa"/>
              <w:right w:w="150" w:type="dxa"/>
            </w:tcMar>
          </w:tcPr>
          <w:p w14:paraId="03D0C373" w14:textId="77777777" w:rsidR="00255742" w:rsidRDefault="00000000">
            <w:pPr>
              <w:spacing w:line="252" w:lineRule="auto"/>
            </w:pPr>
            <w:r>
              <w:rPr>
                <w:rFonts w:ascii="Calibri" w:eastAsia="Calibri" w:hAnsi="Calibri" w:cs="Calibri"/>
                <w:color w:val="17472A"/>
              </w:rPr>
              <w:t>•  Visible institutional norms and transparent, consistently applied response protocols</w:t>
            </w:r>
          </w:p>
        </w:tc>
      </w:tr>
      <w:tr w:rsidR="00255742" w14:paraId="66BDA99E"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01CF231C" w14:textId="77777777" w:rsidR="00255742" w:rsidRDefault="00000000">
            <w:pPr>
              <w:spacing w:line="252" w:lineRule="auto"/>
            </w:pPr>
            <w:r>
              <w:rPr>
                <w:rFonts w:ascii="Calibri" w:eastAsia="Calibri" w:hAnsi="Calibri" w:cs="Calibri"/>
                <w:color w:val="5C1A10"/>
              </w:rPr>
              <w:t>•  Focus only on extreme or fringe forms of antisemitism</w:t>
            </w:r>
          </w:p>
        </w:tc>
        <w:tc>
          <w:tcPr>
            <w:tcW w:w="4500" w:type="dxa"/>
            <w:shd w:val="clear" w:color="auto" w:fill="E7F3EA"/>
            <w:tcMar>
              <w:top w:w="80" w:type="dxa"/>
              <w:left w:w="150" w:type="dxa"/>
              <w:bottom w:w="80" w:type="dxa"/>
              <w:right w:w="150" w:type="dxa"/>
            </w:tcMar>
          </w:tcPr>
          <w:p w14:paraId="028295E8" w14:textId="77777777" w:rsidR="00255742" w:rsidRDefault="00000000">
            <w:pPr>
              <w:spacing w:line="252" w:lineRule="auto"/>
            </w:pPr>
            <w:r>
              <w:rPr>
                <w:rFonts w:ascii="Calibri" w:eastAsia="Calibri" w:hAnsi="Calibri" w:cs="Calibri"/>
                <w:color w:val="17472A"/>
              </w:rPr>
              <w:t>•  Attention to everyday and elite antisemitism, not only extremism</w:t>
            </w:r>
          </w:p>
        </w:tc>
      </w:tr>
      <w:tr w:rsidR="00255742" w14:paraId="14BD50DB"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1520F60D" w14:textId="77777777" w:rsidR="00255742" w:rsidRDefault="00000000">
            <w:pPr>
              <w:spacing w:line="252" w:lineRule="auto"/>
            </w:pPr>
            <w:r>
              <w:rPr>
                <w:rFonts w:ascii="Calibri" w:eastAsia="Calibri" w:hAnsi="Calibri" w:cs="Calibri"/>
                <w:color w:val="5C1A10"/>
              </w:rPr>
              <w:t>•  Optional or extracurricular programs reaching only self-selected students</w:t>
            </w:r>
          </w:p>
        </w:tc>
        <w:tc>
          <w:tcPr>
            <w:tcW w:w="4500" w:type="dxa"/>
            <w:shd w:val="clear" w:color="auto" w:fill="E7F3EA"/>
            <w:tcMar>
              <w:top w:w="80" w:type="dxa"/>
              <w:left w:w="150" w:type="dxa"/>
              <w:bottom w:w="80" w:type="dxa"/>
              <w:right w:w="150" w:type="dxa"/>
            </w:tcMar>
          </w:tcPr>
          <w:p w14:paraId="2C8C12E3" w14:textId="77777777" w:rsidR="00255742" w:rsidRDefault="00000000">
            <w:pPr>
              <w:spacing w:line="252" w:lineRule="auto"/>
            </w:pPr>
            <w:r>
              <w:rPr>
                <w:rFonts w:ascii="Calibri" w:eastAsia="Calibri" w:hAnsi="Calibri" w:cs="Calibri"/>
                <w:color w:val="17472A"/>
              </w:rPr>
              <w:t>•  Mandated, universal coverage (e.g. Ontario's Grade 6 Holocaust education mandate, now adopted by six provinces)</w:t>
            </w:r>
          </w:p>
        </w:tc>
      </w:tr>
    </w:tbl>
    <w:p w14:paraId="3DD3927D" w14:textId="77777777" w:rsidR="00255742" w:rsidRDefault="00255742">
      <w:pPr>
        <w:spacing w:before="160" w:after="160"/>
      </w:pPr>
    </w:p>
    <w:p w14:paraId="78A79056" w14:textId="77777777" w:rsidR="00255742" w:rsidRDefault="00000000">
      <w:pPr>
        <w:spacing w:after="160" w:line="276" w:lineRule="auto"/>
      </w:pPr>
      <w:r>
        <w:rPr>
          <w:rFonts w:ascii="Calibri" w:eastAsia="Calibri" w:hAnsi="Calibri" w:cs="Calibri"/>
          <w:sz w:val="22"/>
          <w:szCs w:val="22"/>
        </w:rPr>
        <w:t>Evidence from US campuses since 2024 adds a further, less comfortable data point: ADL's 2026 audit found reported campus antisemitism incidents fell from 1,694 in 2024 to 583 in 2025, with incidents tied to anti-Israel protests and encampments down 83%. The audit attributes much of the decline to universities enforcing clearer, consistently applied conduct policies — reinforcing the Section 4 finding that visible, consistently enforced institutional norms are a precondition for behavioural change, not merely a desirable add-on. This finding connects directly to Section 5 below.</w:t>
      </w:r>
    </w:p>
    <w:p w14:paraId="4F5925A8"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5. Freedom of Speech and Freedom from Hate</w:t>
      </w:r>
    </w:p>
    <w:p w14:paraId="2A0685F5" w14:textId="77777777" w:rsidR="00255742" w:rsidRDefault="00000000">
      <w:pPr>
        <w:spacing w:after="160" w:line="276" w:lineRule="auto"/>
      </w:pPr>
      <w:r>
        <w:rPr>
          <w:rFonts w:ascii="Calibri" w:eastAsia="Calibri" w:hAnsi="Calibri" w:cs="Calibri"/>
          <w:sz w:val="22"/>
          <w:szCs w:val="22"/>
        </w:rPr>
        <w:t>No aspect of anti-antisemitism education and policy is more contested than where legitimate political speech — including sharp criticism of Israeli government policy and advocacy for Palestinian rights — ends, and where antisemitic harassment or discriminatory exclusion begins. This is not a peripheral concern for educators: it now shapes classroom discussion rules, university disciplinary codes, event policies, and the design of curriculum on Israel-Palestine. The research and legal record to mid-2026 offers educators and policymakers real, if imperfect, guidance.</w:t>
      </w:r>
    </w:p>
    <w:p w14:paraId="574DDF5F" w14:textId="77777777" w:rsidR="00255742" w:rsidRDefault="00000000">
      <w:pPr>
        <w:pStyle w:val="Heading2"/>
        <w:spacing w:before="300" w:after="160"/>
      </w:pPr>
      <w:r>
        <w:rPr>
          <w:rFonts w:ascii="Calibri" w:eastAsia="Calibri" w:hAnsi="Calibri" w:cs="Calibri"/>
          <w:b/>
          <w:bCs/>
          <w:color w:val="2E5395"/>
          <w:sz w:val="25"/>
          <w:szCs w:val="25"/>
        </w:rPr>
        <w:t>5.1 The definitional fault line</w:t>
      </w:r>
    </w:p>
    <w:p w14:paraId="617F1168" w14:textId="77777777" w:rsidR="00255742" w:rsidRDefault="00000000">
      <w:pPr>
        <w:spacing w:after="160" w:line="276" w:lineRule="auto"/>
      </w:pPr>
      <w:r>
        <w:rPr>
          <w:rFonts w:ascii="Calibri" w:eastAsia="Calibri" w:hAnsi="Calibri" w:cs="Calibri"/>
          <w:sz w:val="22"/>
          <w:szCs w:val="22"/>
        </w:rPr>
        <w:t>Two competing frameworks dominate. The IHRA working definition (2016), adopted by most Australian, US, UK, and European governments, includes 11 illustrative examples, seven of which concern Israel. The Jerusalem Declaration on Antisemitism (JDA, 2021), drafted by scholars of antisemitism, Holocaust, and Middle East studies, was designed as a corrective that more clearly separates antisemitic speech from legitimate criticism of Israel and Zionism. Both are contested: JDA proponents argue IHRA's Israel-related examples are broad enough to chill lawful academic and political speech; IHRA proponents argue JDA under-protects Jewish communities by normalising anti-Zionist framings that can shade into antisemitism. Whichever definition an institution adopts substantially shapes what its complaints processes will treat as sanctionable.</w:t>
      </w:r>
    </w:p>
    <w:p w14:paraId="62CBB113" w14:textId="77777777" w:rsidR="00255742" w:rsidRDefault="00000000">
      <w:pPr>
        <w:pStyle w:val="Heading2"/>
        <w:spacing w:before="300" w:after="160"/>
      </w:pPr>
      <w:r>
        <w:rPr>
          <w:rFonts w:ascii="Calibri" w:eastAsia="Calibri" w:hAnsi="Calibri" w:cs="Calibri"/>
          <w:b/>
          <w:bCs/>
          <w:color w:val="2E5395"/>
          <w:sz w:val="25"/>
          <w:szCs w:val="25"/>
        </w:rPr>
        <w:t>5.2 What the UK evidence shows</w:t>
      </w:r>
    </w:p>
    <w:p w14:paraId="3B550E21" w14:textId="77777777" w:rsidR="00255742" w:rsidRDefault="00000000">
      <w:pPr>
        <w:spacing w:after="160" w:line="276" w:lineRule="auto"/>
      </w:pPr>
      <w:r>
        <w:rPr>
          <w:rFonts w:ascii="Calibri" w:eastAsia="Calibri" w:hAnsi="Calibri" w:cs="Calibri"/>
          <w:sz w:val="22"/>
          <w:szCs w:val="22"/>
        </w:rPr>
        <w:t xml:space="preserve">The UK offers the most extensive real-world test, having mandated the IHRA definition in universities since 2020. A study of 40 UK </w:t>
      </w:r>
      <w:proofErr w:type="gramStart"/>
      <w:r>
        <w:rPr>
          <w:rFonts w:ascii="Calibri" w:eastAsia="Calibri" w:hAnsi="Calibri" w:cs="Calibri"/>
          <w:sz w:val="22"/>
          <w:szCs w:val="22"/>
        </w:rPr>
        <w:t>university</w:t>
      </w:r>
      <w:proofErr w:type="gramEnd"/>
      <w:r>
        <w:rPr>
          <w:rFonts w:ascii="Calibri" w:eastAsia="Calibri" w:hAnsi="Calibri" w:cs="Calibri"/>
          <w:sz w:val="22"/>
          <w:szCs w:val="22"/>
        </w:rPr>
        <w:t xml:space="preserve"> cases (2017–2022) found that of 24 cases against staff citing the IHRA </w:t>
      </w:r>
      <w:r>
        <w:rPr>
          <w:rFonts w:ascii="Calibri" w:eastAsia="Calibri" w:hAnsi="Calibri" w:cs="Calibri"/>
          <w:sz w:val="22"/>
          <w:szCs w:val="22"/>
        </w:rPr>
        <w:lastRenderedPageBreak/>
        <w:t>definition, 18 proceeded to investigation or formal disciplinary hearing; every investigation concluded 'no case to answer' and every formal hearing exonerated the staff member of all charges. No allegation was ultimately substantiated — yet the process itself imposed real costs: months of stress, reputational harm, and self-censorship among academics teaching Israel-Palestine topics, several of whom reported avoiding the subject altogether rather than risk a complaint.</w:t>
      </w:r>
    </w:p>
    <w:p w14:paraId="490BD4DD" w14:textId="77777777" w:rsidR="00255742" w:rsidRDefault="00000000">
      <w:pPr>
        <w:spacing w:after="160" w:line="276" w:lineRule="auto"/>
      </w:pPr>
      <w:r>
        <w:rPr>
          <w:rFonts w:ascii="Calibri" w:eastAsia="Calibri" w:hAnsi="Calibri" w:cs="Calibri"/>
          <w:sz w:val="22"/>
          <w:szCs w:val="22"/>
        </w:rPr>
        <w:t>Judicial interpretation has begun to narrow the definition's practical reach. In 2024–2025, the UK High Court (Mr Justice Chamberlain) held in two professional-disciplinary appeals that broad protection under Article 10 (freedom of expression) applies to people making judgments on contested factual and normative matters, that tribunals should be cautious about finding a statement antisemitic solely because it alleges a 'double standard' applied to Israel, and that the IHRA examples — 'billed as contemporary examples in 2016' — were not intended to fix the boundaries of legitimate political debate for all time. A live 2026 judicial review (a suspended NHS doctor challenging his Trust's use of IHRA after a speech criticising Israeli conduct in Gaza) shows this boundary is still being actively tested in the courts.</w:t>
      </w:r>
    </w:p>
    <w:p w14:paraId="65F20A0F" w14:textId="77777777" w:rsidR="00255742" w:rsidRDefault="00000000">
      <w:pPr>
        <w:spacing w:after="160" w:line="276" w:lineRule="auto"/>
      </w:pPr>
      <w:r>
        <w:rPr>
          <w:rFonts w:ascii="Calibri" w:eastAsia="Calibri" w:hAnsi="Calibri" w:cs="Calibri"/>
          <w:sz w:val="22"/>
          <w:szCs w:val="22"/>
        </w:rPr>
        <w:t>Some UK institutions have responded by reconsidering IHRA's use as a disciplinary tool altogether. UCL's Academic Board concluded that because IHRA centres on belief and perception rather than sanctionable conduct, it provides an unstable basis for disciplinary determinations compared with existing equality law, which assesses conduct and its effects — and UCL subsequently withdrew its 2019 adoption of the definition for disciplinary purposes.</w:t>
      </w:r>
    </w:p>
    <w:p w14:paraId="1178D13F" w14:textId="77777777" w:rsidR="00255742" w:rsidRDefault="00000000">
      <w:pPr>
        <w:pStyle w:val="Heading2"/>
        <w:spacing w:before="300" w:after="160"/>
      </w:pPr>
      <w:r>
        <w:rPr>
          <w:rFonts w:ascii="Calibri" w:eastAsia="Calibri" w:hAnsi="Calibri" w:cs="Calibri"/>
          <w:b/>
          <w:bCs/>
          <w:color w:val="2E5395"/>
          <w:sz w:val="25"/>
          <w:szCs w:val="25"/>
        </w:rPr>
        <w:t>5.3 The conduct/content distinction that is emerging as best practice</w:t>
      </w:r>
    </w:p>
    <w:p w14:paraId="630011A9" w14:textId="77777777" w:rsidR="00255742" w:rsidRDefault="00000000">
      <w:pPr>
        <w:spacing w:after="160" w:line="276" w:lineRule="auto"/>
      </w:pPr>
      <w:r>
        <w:rPr>
          <w:rFonts w:ascii="Calibri" w:eastAsia="Calibri" w:hAnsi="Calibri" w:cs="Calibri"/>
          <w:sz w:val="22"/>
          <w:szCs w:val="22"/>
        </w:rPr>
        <w:t>Across jurisdictions, the most consistent and defensible regulatory principle is not which definition of antisemitism an institution adopts, but whether its rules target conduct rather than viewpoint. US First Amendment doctrine draws this distinction sharply: content-neutral time, place, and manner restrictions (e.g. rules on when and where amplified sound or encampments are permitted) are permissible regardless of the speaker's message; content-based restrictions, and especially viewpoint-based restrictions (banning discussion of a topic, or banning one side of a debate), face the highest level of scrutiny. Legal commentary since 2024 has converged on a similar framing: many of the most serious incidents on campuses — building takeovers, property vandalism, blocking access, targeted harassment — were never protected speech to begin with, and can be addressed through consistent, content-neutral conduct rules without engaging viewpoint-based speech restrictions at all.</w:t>
      </w:r>
    </w:p>
    <w:p w14:paraId="14B26DF1" w14:textId="77777777" w:rsidR="00255742" w:rsidRDefault="00000000">
      <w:pPr>
        <w:spacing w:after="160" w:line="276" w:lineRule="auto"/>
      </w:pPr>
      <w:r>
        <w:rPr>
          <w:rFonts w:ascii="Calibri" w:eastAsia="Calibri" w:hAnsi="Calibri" w:cs="Calibri"/>
          <w:sz w:val="22"/>
          <w:szCs w:val="22"/>
        </w:rPr>
        <w:t>US data lends some support to this approach in outcome terms: after universities adopted clearer, consistently enforced time-place-manner policies for the 2024–2025 academic year (firmer rules on location, timing, and disciplinary consequences, with encampments specifically prohibited), reported antisemitic incidents fell sharply in 2025. But the same policies have drawn criticism — including from some free-speech advocates and civil liberties groups — for being applied inconsistently, or for functioning in practice as content-based suppression of pro-Palestinian advocacy specifically, rather than as genuinely viewpoint-neutral conduct rules. A federal judge's 2025 ruling on Harvard's dispute with the Trump administration captured the tension directly: 'We must fight against antisemitism, but we equally need to protect our rights, including our right to free speech, and neither goal should nor needs to be sacrificed on the altar of the other.'</w:t>
      </w:r>
    </w:p>
    <w:p w14:paraId="1C307F75" w14:textId="77777777" w:rsidR="00255742" w:rsidRDefault="00000000">
      <w:pPr>
        <w:pStyle w:val="Heading2"/>
        <w:spacing w:before="300" w:after="160"/>
      </w:pPr>
      <w:r>
        <w:rPr>
          <w:rFonts w:ascii="Calibri" w:eastAsia="Calibri" w:hAnsi="Calibri" w:cs="Calibri"/>
          <w:b/>
          <w:bCs/>
          <w:color w:val="2E5395"/>
          <w:sz w:val="25"/>
          <w:szCs w:val="25"/>
        </w:rPr>
        <w:t>5.4 Comparative practice for educators and institutions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00"/>
      </w:tblGrid>
      <w:tr w:rsidR="00255742" w14:paraId="1CFB5FBB" w14:textId="77777777">
        <w:tblPrEx>
          <w:tblCellMar>
            <w:top w:w="0" w:type="dxa"/>
            <w:bottom w:w="0" w:type="dxa"/>
          </w:tblCellMar>
        </w:tblPrEx>
        <w:trPr>
          <w:tblHeader/>
        </w:trPr>
        <w:tc>
          <w:tcPr>
            <w:tcW w:w="4500" w:type="dxa"/>
            <w:shd w:val="clear" w:color="auto" w:fill="1F3864"/>
            <w:tcMar>
              <w:top w:w="100" w:type="dxa"/>
              <w:left w:w="150" w:type="dxa"/>
              <w:bottom w:w="100" w:type="dxa"/>
              <w:right w:w="150" w:type="dxa"/>
            </w:tcMar>
          </w:tcPr>
          <w:p w14:paraId="0B967B3B" w14:textId="77777777" w:rsidR="00255742" w:rsidRDefault="00000000">
            <w:proofErr w:type="gramStart"/>
            <w:r>
              <w:rPr>
                <w:rFonts w:ascii="Calibri" w:eastAsia="Calibri" w:hAnsi="Calibri" w:cs="Calibri"/>
                <w:b/>
                <w:bCs/>
                <w:color w:val="FFFFFF"/>
                <w:sz w:val="21"/>
                <w:szCs w:val="21"/>
              </w:rPr>
              <w:lastRenderedPageBreak/>
              <w:t>✗  Less</w:t>
            </w:r>
            <w:proofErr w:type="gramEnd"/>
            <w:r>
              <w:rPr>
                <w:rFonts w:ascii="Calibri" w:eastAsia="Calibri" w:hAnsi="Calibri" w:cs="Calibri"/>
                <w:b/>
                <w:bCs/>
                <w:color w:val="FFFFFF"/>
                <w:sz w:val="21"/>
                <w:szCs w:val="21"/>
              </w:rPr>
              <w:t xml:space="preserve"> Successful Practices</w:t>
            </w:r>
          </w:p>
        </w:tc>
        <w:tc>
          <w:tcPr>
            <w:tcW w:w="4500" w:type="dxa"/>
            <w:shd w:val="clear" w:color="auto" w:fill="1F3864"/>
            <w:tcMar>
              <w:top w:w="100" w:type="dxa"/>
              <w:left w:w="150" w:type="dxa"/>
              <w:bottom w:w="100" w:type="dxa"/>
              <w:right w:w="150" w:type="dxa"/>
            </w:tcMar>
          </w:tcPr>
          <w:p w14:paraId="2702441A" w14:textId="77777777" w:rsidR="00255742" w:rsidRDefault="00000000">
            <w:proofErr w:type="gramStart"/>
            <w:r>
              <w:rPr>
                <w:rFonts w:ascii="Calibri" w:eastAsia="Calibri" w:hAnsi="Calibri" w:cs="Calibri"/>
                <w:b/>
                <w:bCs/>
                <w:color w:val="FFFFFF"/>
                <w:sz w:val="21"/>
                <w:szCs w:val="21"/>
              </w:rPr>
              <w:t>✓  More</w:t>
            </w:r>
            <w:proofErr w:type="gramEnd"/>
            <w:r>
              <w:rPr>
                <w:rFonts w:ascii="Calibri" w:eastAsia="Calibri" w:hAnsi="Calibri" w:cs="Calibri"/>
                <w:b/>
                <w:bCs/>
                <w:color w:val="FFFFFF"/>
                <w:sz w:val="21"/>
                <w:szCs w:val="21"/>
              </w:rPr>
              <w:t xml:space="preserve"> Successful Practices</w:t>
            </w:r>
          </w:p>
        </w:tc>
      </w:tr>
      <w:tr w:rsidR="00255742" w14:paraId="6D84BF1A"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72944AF1" w14:textId="77777777" w:rsidR="00255742" w:rsidRDefault="00000000">
            <w:pPr>
              <w:spacing w:line="252" w:lineRule="auto"/>
            </w:pPr>
            <w:r>
              <w:rPr>
                <w:rFonts w:ascii="Calibri" w:eastAsia="Calibri" w:hAnsi="Calibri" w:cs="Calibri"/>
                <w:color w:val="5C1A10"/>
              </w:rPr>
              <w:t>•  Adjudicating complaints primarily on the content or viewpoint expressed (e.g. criticism of Israeli government policy treated as presumptively suspect)</w:t>
            </w:r>
          </w:p>
        </w:tc>
        <w:tc>
          <w:tcPr>
            <w:tcW w:w="4500" w:type="dxa"/>
            <w:shd w:val="clear" w:color="auto" w:fill="E7F3EA"/>
            <w:tcMar>
              <w:top w:w="80" w:type="dxa"/>
              <w:left w:w="150" w:type="dxa"/>
              <w:bottom w:w="80" w:type="dxa"/>
              <w:right w:w="150" w:type="dxa"/>
            </w:tcMar>
          </w:tcPr>
          <w:p w14:paraId="3E0C00BA" w14:textId="77777777" w:rsidR="00255742" w:rsidRDefault="00000000">
            <w:pPr>
              <w:spacing w:line="252" w:lineRule="auto"/>
            </w:pPr>
            <w:r>
              <w:rPr>
                <w:rFonts w:ascii="Calibri" w:eastAsia="Calibri" w:hAnsi="Calibri" w:cs="Calibri"/>
                <w:color w:val="17472A"/>
              </w:rPr>
              <w:t>•  Adjudicating primarily on conduct and its effects: harassment, threats, doxxing, obstruction, targeted intimidation of individuals</w:t>
            </w:r>
          </w:p>
        </w:tc>
      </w:tr>
      <w:tr w:rsidR="00255742" w14:paraId="62D1B20F"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18A438FE" w14:textId="77777777" w:rsidR="00255742" w:rsidRDefault="00000000">
            <w:pPr>
              <w:spacing w:line="252" w:lineRule="auto"/>
            </w:pPr>
            <w:r>
              <w:rPr>
                <w:rFonts w:ascii="Calibri" w:eastAsia="Calibri" w:hAnsi="Calibri" w:cs="Calibri"/>
                <w:color w:val="5C1A10"/>
              </w:rPr>
              <w:t>•  Vague or selectively enforced protest and conduct rules</w:t>
            </w:r>
          </w:p>
        </w:tc>
        <w:tc>
          <w:tcPr>
            <w:tcW w:w="4500" w:type="dxa"/>
            <w:shd w:val="clear" w:color="auto" w:fill="E7F3EA"/>
            <w:tcMar>
              <w:top w:w="80" w:type="dxa"/>
              <w:left w:w="150" w:type="dxa"/>
              <w:bottom w:w="80" w:type="dxa"/>
              <w:right w:w="150" w:type="dxa"/>
            </w:tcMar>
          </w:tcPr>
          <w:p w14:paraId="6F2B1501" w14:textId="77777777" w:rsidR="00255742" w:rsidRDefault="00000000">
            <w:pPr>
              <w:spacing w:line="252" w:lineRule="auto"/>
            </w:pPr>
            <w:r>
              <w:rPr>
                <w:rFonts w:ascii="Calibri" w:eastAsia="Calibri" w:hAnsi="Calibri" w:cs="Calibri"/>
                <w:color w:val="17472A"/>
              </w:rPr>
              <w:t>•  Clear, content-neutral time/place/manner rules, published in advance and applied consistently across all viewpoints</w:t>
            </w:r>
          </w:p>
        </w:tc>
      </w:tr>
      <w:tr w:rsidR="00255742" w14:paraId="3E247F3D"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21A8DC77" w14:textId="77777777" w:rsidR="00255742" w:rsidRDefault="00000000">
            <w:pPr>
              <w:spacing w:line="252" w:lineRule="auto"/>
            </w:pPr>
            <w:r>
              <w:rPr>
                <w:rFonts w:ascii="Calibri" w:eastAsia="Calibri" w:hAnsi="Calibri" w:cs="Calibri"/>
                <w:color w:val="5C1A10"/>
              </w:rPr>
              <w:t xml:space="preserve">•  Requiring speakers or lecturers to pre-clear course content, talk topics, or reading lists </w:t>
            </w:r>
            <w:proofErr w:type="gramStart"/>
            <w:r>
              <w:rPr>
                <w:rFonts w:ascii="Calibri" w:eastAsia="Calibri" w:hAnsi="Calibri" w:cs="Calibri"/>
                <w:color w:val="5C1A10"/>
              </w:rPr>
              <w:t>on the basis of</w:t>
            </w:r>
            <w:proofErr w:type="gramEnd"/>
            <w:r>
              <w:rPr>
                <w:rFonts w:ascii="Calibri" w:eastAsia="Calibri" w:hAnsi="Calibri" w:cs="Calibri"/>
                <w:color w:val="5C1A10"/>
              </w:rPr>
              <w:t xml:space="preserve"> subject matter alone</w:t>
            </w:r>
          </w:p>
        </w:tc>
        <w:tc>
          <w:tcPr>
            <w:tcW w:w="4500" w:type="dxa"/>
            <w:shd w:val="clear" w:color="auto" w:fill="E7F3EA"/>
            <w:tcMar>
              <w:top w:w="80" w:type="dxa"/>
              <w:left w:w="150" w:type="dxa"/>
              <w:bottom w:w="80" w:type="dxa"/>
              <w:right w:w="150" w:type="dxa"/>
            </w:tcMar>
          </w:tcPr>
          <w:p w14:paraId="661E9419" w14:textId="77777777" w:rsidR="00255742" w:rsidRDefault="00000000">
            <w:pPr>
              <w:spacing w:line="252" w:lineRule="auto"/>
            </w:pPr>
            <w:r>
              <w:rPr>
                <w:rFonts w:ascii="Calibri" w:eastAsia="Calibri" w:hAnsi="Calibri" w:cs="Calibri"/>
                <w:color w:val="17472A"/>
              </w:rPr>
              <w:t>•  Protecting academic freedom to teach, research, and debate Israel-Palestine, including sharply critical positions, as core to the institution's mission</w:t>
            </w:r>
          </w:p>
        </w:tc>
      </w:tr>
      <w:tr w:rsidR="00255742" w14:paraId="0286E915"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1932202D" w14:textId="77777777" w:rsidR="00255742" w:rsidRDefault="00000000">
            <w:pPr>
              <w:spacing w:line="252" w:lineRule="auto"/>
            </w:pPr>
            <w:r>
              <w:rPr>
                <w:rFonts w:ascii="Calibri" w:eastAsia="Calibri" w:hAnsi="Calibri" w:cs="Calibri"/>
                <w:color w:val="5C1A10"/>
              </w:rPr>
              <w:t>•  Treating a single, non-</w:t>
            </w:r>
            <w:proofErr w:type="gramStart"/>
            <w:r>
              <w:rPr>
                <w:rFonts w:ascii="Calibri" w:eastAsia="Calibri" w:hAnsi="Calibri" w:cs="Calibri"/>
                <w:color w:val="5C1A10"/>
              </w:rPr>
              <w:t>legally-binding</w:t>
            </w:r>
            <w:proofErr w:type="gramEnd"/>
            <w:r>
              <w:rPr>
                <w:rFonts w:ascii="Calibri" w:eastAsia="Calibri" w:hAnsi="Calibri" w:cs="Calibri"/>
                <w:color w:val="5C1A10"/>
              </w:rPr>
              <w:t xml:space="preserve"> definition as dispositive in disciplinary findings</w:t>
            </w:r>
          </w:p>
        </w:tc>
        <w:tc>
          <w:tcPr>
            <w:tcW w:w="4500" w:type="dxa"/>
            <w:shd w:val="clear" w:color="auto" w:fill="E7F3EA"/>
            <w:tcMar>
              <w:top w:w="80" w:type="dxa"/>
              <w:left w:w="150" w:type="dxa"/>
              <w:bottom w:w="80" w:type="dxa"/>
              <w:right w:w="150" w:type="dxa"/>
            </w:tcMar>
          </w:tcPr>
          <w:p w14:paraId="33093018" w14:textId="77777777" w:rsidR="00255742" w:rsidRDefault="00000000">
            <w:pPr>
              <w:spacing w:line="252" w:lineRule="auto"/>
            </w:pPr>
            <w:r>
              <w:rPr>
                <w:rFonts w:ascii="Calibri" w:eastAsia="Calibri" w:hAnsi="Calibri" w:cs="Calibri"/>
                <w:color w:val="17472A"/>
              </w:rPr>
              <w:t>•  Using any adopted definition (IHRA, JDA, or a locally developed alternative) as an interpretive aid rather than a legal test, paired with due-process safeguards</w:t>
            </w:r>
          </w:p>
        </w:tc>
      </w:tr>
      <w:tr w:rsidR="00255742" w14:paraId="529BB907"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0CA86E60" w14:textId="77777777" w:rsidR="00255742" w:rsidRDefault="00000000">
            <w:pPr>
              <w:spacing w:line="252" w:lineRule="auto"/>
            </w:pPr>
            <w:r>
              <w:rPr>
                <w:rFonts w:ascii="Calibri" w:eastAsia="Calibri" w:hAnsi="Calibri" w:cs="Calibri"/>
                <w:color w:val="5C1A10"/>
              </w:rPr>
              <w:t>•  Silence or delayed response allowing a climate of harassment to develop unchecked</w:t>
            </w:r>
          </w:p>
        </w:tc>
        <w:tc>
          <w:tcPr>
            <w:tcW w:w="4500" w:type="dxa"/>
            <w:shd w:val="clear" w:color="auto" w:fill="E7F3EA"/>
            <w:tcMar>
              <w:top w:w="80" w:type="dxa"/>
              <w:left w:w="150" w:type="dxa"/>
              <w:bottom w:w="80" w:type="dxa"/>
              <w:right w:w="150" w:type="dxa"/>
            </w:tcMar>
          </w:tcPr>
          <w:p w14:paraId="349EFEA4" w14:textId="77777777" w:rsidR="00255742" w:rsidRDefault="00000000">
            <w:pPr>
              <w:spacing w:line="252" w:lineRule="auto"/>
            </w:pPr>
            <w:r>
              <w:rPr>
                <w:rFonts w:ascii="Calibri" w:eastAsia="Calibri" w:hAnsi="Calibri" w:cs="Calibri"/>
                <w:color w:val="17472A"/>
              </w:rPr>
              <w:t>•  Prompt, transparent, and visible institutional response to genuine harassment, regardless of the identity of perpetrator or target</w:t>
            </w:r>
          </w:p>
        </w:tc>
      </w:tr>
      <w:tr w:rsidR="00255742" w14:paraId="3150870C" w14:textId="77777777">
        <w:tblPrEx>
          <w:tblCellMar>
            <w:top w:w="0" w:type="dxa"/>
            <w:bottom w:w="0" w:type="dxa"/>
          </w:tblCellMar>
        </w:tblPrEx>
        <w:tc>
          <w:tcPr>
            <w:tcW w:w="4500" w:type="dxa"/>
            <w:shd w:val="clear" w:color="auto" w:fill="FBE9E7"/>
            <w:tcMar>
              <w:top w:w="80" w:type="dxa"/>
              <w:left w:w="150" w:type="dxa"/>
              <w:bottom w:w="80" w:type="dxa"/>
              <w:right w:w="150" w:type="dxa"/>
            </w:tcMar>
          </w:tcPr>
          <w:p w14:paraId="3B161BDF" w14:textId="77777777" w:rsidR="00255742" w:rsidRDefault="00000000">
            <w:pPr>
              <w:spacing w:line="252" w:lineRule="auto"/>
            </w:pPr>
            <w:r>
              <w:rPr>
                <w:rFonts w:ascii="Calibri" w:eastAsia="Calibri" w:hAnsi="Calibri" w:cs="Calibri"/>
                <w:color w:val="5C1A10"/>
              </w:rPr>
              <w:t>•  Conflating anti-Zionism per se with antisemitism, or conversely treating all criticism of antisemitism complaints as illegitimate suppression</w:t>
            </w:r>
          </w:p>
        </w:tc>
        <w:tc>
          <w:tcPr>
            <w:tcW w:w="4500" w:type="dxa"/>
            <w:shd w:val="clear" w:color="auto" w:fill="E7F3EA"/>
            <w:tcMar>
              <w:top w:w="80" w:type="dxa"/>
              <w:left w:w="150" w:type="dxa"/>
              <w:bottom w:w="80" w:type="dxa"/>
              <w:right w:w="150" w:type="dxa"/>
            </w:tcMar>
          </w:tcPr>
          <w:p w14:paraId="5A37FF78" w14:textId="77777777" w:rsidR="00255742" w:rsidRDefault="00000000">
            <w:pPr>
              <w:spacing w:line="252" w:lineRule="auto"/>
            </w:pPr>
            <w:r>
              <w:rPr>
                <w:rFonts w:ascii="Calibri" w:eastAsia="Calibri" w:hAnsi="Calibri" w:cs="Calibri"/>
                <w:color w:val="17472A"/>
              </w:rPr>
              <w:t>•  Distinguishing, case by case, between political criticism (protected, however sharp) and conduct that targets, threatens, or excludes individuals because they are Jewish</w:t>
            </w:r>
          </w:p>
        </w:tc>
      </w:tr>
    </w:tbl>
    <w:p w14:paraId="795992C6" w14:textId="77777777" w:rsidR="00255742" w:rsidRDefault="00255742">
      <w:pPr>
        <w:spacing w:before="160" w:after="160"/>
      </w:pPr>
    </w:p>
    <w:tbl>
      <w:tblPr>
        <w:tblW w:w="5000" w:type="pct"/>
        <w:tblBorders>
          <w:top w:val="single" w:sz="4" w:space="0" w:color="9AA7C7"/>
          <w:left w:val="single" w:sz="4" w:space="0" w:color="9AA7C7"/>
          <w:bottom w:val="single" w:sz="4" w:space="0" w:color="9AA7C7"/>
          <w:right w:val="single" w:sz="4" w:space="0" w:color="9AA7C7"/>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36"/>
      </w:tblGrid>
      <w:tr w:rsidR="00255742" w14:paraId="2574654F" w14:textId="77777777">
        <w:tblPrEx>
          <w:tblCellMar>
            <w:top w:w="0" w:type="dxa"/>
            <w:bottom w:w="0" w:type="dxa"/>
          </w:tblCellMar>
        </w:tblPrEx>
        <w:tc>
          <w:tcPr>
            <w:tcW w:w="0" w:type="auto"/>
            <w:shd w:val="clear" w:color="auto" w:fill="EEF1F8"/>
            <w:tcMar>
              <w:top w:w="160" w:type="dxa"/>
              <w:left w:w="200" w:type="dxa"/>
              <w:bottom w:w="160" w:type="dxa"/>
              <w:right w:w="200" w:type="dxa"/>
            </w:tcMar>
          </w:tcPr>
          <w:p w14:paraId="7C60B7B4" w14:textId="77777777" w:rsidR="00255742" w:rsidRDefault="00000000">
            <w:pPr>
              <w:spacing w:line="264" w:lineRule="auto"/>
            </w:pPr>
            <w:r>
              <w:rPr>
                <w:rFonts w:ascii="Calibri" w:eastAsia="Calibri" w:hAnsi="Calibri" w:cs="Calibri"/>
                <w:b/>
                <w:bCs/>
                <w:i/>
                <w:iCs/>
                <w:color w:val="2E5395"/>
                <w:sz w:val="21"/>
                <w:szCs w:val="21"/>
              </w:rPr>
              <w:t xml:space="preserve">Note for educators: </w:t>
            </w:r>
            <w:r>
              <w:rPr>
                <w:rFonts w:ascii="Calibri" w:eastAsia="Calibri" w:hAnsi="Calibri" w:cs="Calibri"/>
                <w:i/>
                <w:iCs/>
                <w:sz w:val="21"/>
                <w:szCs w:val="21"/>
              </w:rPr>
              <w:t>Educators leading classroom discussion of Israel-Palestine can apply the same distinction at a smaller scale: robust, even one-sided, argument on the substance of the conflict is a legitimate feature of political and historical education; comments that target a specific Jewish, Israeli, Muslim, or Palestinian student personally, or that create a hostile environment for them because of who they are, are not, and should be addressed as conduct rather than debated as viewpoint.</w:t>
            </w:r>
          </w:p>
        </w:tc>
      </w:tr>
    </w:tbl>
    <w:p w14:paraId="7D5F5758" w14:textId="77777777" w:rsidR="00255742" w:rsidRDefault="00000000">
      <w:pPr>
        <w:pStyle w:val="Heading2"/>
        <w:spacing w:before="300" w:after="160"/>
      </w:pPr>
      <w:r>
        <w:rPr>
          <w:rFonts w:ascii="Calibri" w:eastAsia="Calibri" w:hAnsi="Calibri" w:cs="Calibri"/>
          <w:b/>
          <w:bCs/>
          <w:color w:val="2E5395"/>
          <w:sz w:val="25"/>
          <w:szCs w:val="25"/>
        </w:rPr>
        <w:t>5.5 What this means in practice</w:t>
      </w:r>
    </w:p>
    <w:p w14:paraId="4DA6CE64" w14:textId="77777777" w:rsidR="00255742" w:rsidRDefault="00000000">
      <w:pPr>
        <w:spacing w:after="160" w:line="276" w:lineRule="auto"/>
      </w:pPr>
      <w:r>
        <w:rPr>
          <w:rFonts w:ascii="Calibri" w:eastAsia="Calibri" w:hAnsi="Calibri" w:cs="Calibri"/>
          <w:sz w:val="22"/>
          <w:szCs w:val="22"/>
        </w:rPr>
        <w:t>The literature converges, imperfectly, on several practical guardrails for institutions genuinely trying to hold both commitments — free expression and freedom from hate — at once:</w:t>
      </w:r>
    </w:p>
    <w:p w14:paraId="1348C319" w14:textId="77777777" w:rsidR="00255742" w:rsidRDefault="00000000">
      <w:pPr>
        <w:pStyle w:val="ListParagraph"/>
        <w:numPr>
          <w:ilvl w:val="0"/>
          <w:numId w:val="2"/>
        </w:numPr>
        <w:spacing w:after="120" w:line="276" w:lineRule="auto"/>
      </w:pPr>
      <w:r>
        <w:rPr>
          <w:rFonts w:ascii="Calibri" w:eastAsia="Calibri" w:hAnsi="Calibri" w:cs="Calibri"/>
          <w:sz w:val="22"/>
          <w:szCs w:val="22"/>
        </w:rPr>
        <w:t>Separate speech from conduct in policy design, and write conduct rules (harassment, intimidation, obstruction, threats) so they apply identically regardless of the political position of the person accused.</w:t>
      </w:r>
    </w:p>
    <w:p w14:paraId="697157B8" w14:textId="77777777" w:rsidR="00255742" w:rsidRDefault="00000000">
      <w:pPr>
        <w:pStyle w:val="ListParagraph"/>
        <w:numPr>
          <w:ilvl w:val="0"/>
          <w:numId w:val="2"/>
        </w:numPr>
        <w:spacing w:after="120" w:line="276" w:lineRule="auto"/>
      </w:pPr>
      <w:r>
        <w:rPr>
          <w:rFonts w:ascii="Calibri" w:eastAsia="Calibri" w:hAnsi="Calibri" w:cs="Calibri"/>
          <w:sz w:val="22"/>
          <w:szCs w:val="22"/>
        </w:rPr>
        <w:t>Publish time, place, and manner rules in advance, apply them consistently to all groups and all viewpoints, and be prepared to show that consistency when challenged.</w:t>
      </w:r>
    </w:p>
    <w:p w14:paraId="3C3F0C2E" w14:textId="77777777" w:rsidR="00255742" w:rsidRDefault="00000000">
      <w:pPr>
        <w:pStyle w:val="ListParagraph"/>
        <w:numPr>
          <w:ilvl w:val="0"/>
          <w:numId w:val="2"/>
        </w:numPr>
        <w:spacing w:after="120" w:line="276" w:lineRule="auto"/>
      </w:pPr>
      <w:r>
        <w:rPr>
          <w:rFonts w:ascii="Calibri" w:eastAsia="Calibri" w:hAnsi="Calibri" w:cs="Calibri"/>
          <w:sz w:val="22"/>
          <w:szCs w:val="22"/>
        </w:rPr>
        <w:t>Do not require pre-clearance of lecture or seminar content based on subject matter; academic freedom to teach and debate Israel-Palestine, including unpopular positions, should be protected as a matter of principle, not conditional on a complaint-free track record.</w:t>
      </w:r>
    </w:p>
    <w:p w14:paraId="59C30E7C" w14:textId="77777777" w:rsidR="00255742" w:rsidRDefault="00000000">
      <w:pPr>
        <w:pStyle w:val="ListParagraph"/>
        <w:numPr>
          <w:ilvl w:val="0"/>
          <w:numId w:val="2"/>
        </w:numPr>
        <w:spacing w:after="120" w:line="276" w:lineRule="auto"/>
      </w:pPr>
      <w:r>
        <w:rPr>
          <w:rFonts w:ascii="Calibri" w:eastAsia="Calibri" w:hAnsi="Calibri" w:cs="Calibri"/>
          <w:sz w:val="22"/>
          <w:szCs w:val="22"/>
        </w:rPr>
        <w:t>Treat any adopted definition of antisemitism (IHRA, JDA, or otherwise) as an interpretive tool for identifying patterns, not as a self-executing legal standard for disciplinary findings — with genuine due process for the accused.</w:t>
      </w:r>
    </w:p>
    <w:p w14:paraId="2B0F99B8" w14:textId="77777777" w:rsidR="00255742" w:rsidRDefault="00000000">
      <w:pPr>
        <w:pStyle w:val="ListParagraph"/>
        <w:numPr>
          <w:ilvl w:val="0"/>
          <w:numId w:val="2"/>
        </w:numPr>
        <w:spacing w:after="120" w:line="276" w:lineRule="auto"/>
      </w:pPr>
      <w:r>
        <w:rPr>
          <w:rFonts w:ascii="Calibri" w:eastAsia="Calibri" w:hAnsi="Calibri" w:cs="Calibri"/>
          <w:sz w:val="22"/>
          <w:szCs w:val="22"/>
        </w:rPr>
        <w:lastRenderedPageBreak/>
        <w:t>Respond visibly and promptly to real harassment; delayed or invisible response corrodes trust in the institution's fairness from all sides, not only from Jewish students and staff.</w:t>
      </w:r>
    </w:p>
    <w:p w14:paraId="1088E630" w14:textId="77777777" w:rsidR="00255742" w:rsidRDefault="00000000">
      <w:pPr>
        <w:pStyle w:val="ListParagraph"/>
        <w:numPr>
          <w:ilvl w:val="0"/>
          <w:numId w:val="2"/>
        </w:numPr>
        <w:spacing w:after="120" w:line="276" w:lineRule="auto"/>
      </w:pPr>
      <w:r>
        <w:rPr>
          <w:rFonts w:ascii="Calibri" w:eastAsia="Calibri" w:hAnsi="Calibri" w:cs="Calibri"/>
          <w:sz w:val="22"/>
          <w:szCs w:val="22"/>
        </w:rPr>
        <w:t>Expect and prepare for contestation over where the line sits in specific cases; this is not a sign of institutional failure but a predictable feature of a genuinely difficult tension, and processes that are transparent and evenly applied are trusted more than any specific substantive line drawn.</w:t>
      </w:r>
    </w:p>
    <w:p w14:paraId="6EF377B5"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6. Key Principles: A Summary for Practitioners</w:t>
      </w:r>
    </w:p>
    <w:p w14:paraId="0D444468" w14:textId="77777777" w:rsidR="00255742" w:rsidRDefault="00000000">
      <w:pPr>
        <w:spacing w:after="160" w:line="276" w:lineRule="auto"/>
      </w:pPr>
      <w:r>
        <w:rPr>
          <w:rFonts w:ascii="Calibri" w:eastAsia="Calibri" w:hAnsi="Calibri" w:cs="Calibri"/>
          <w:sz w:val="22"/>
          <w:szCs w:val="22"/>
        </w:rPr>
        <w:t>The following principles represent the distilled guidance from fifty years of research and practice, updated to reflect the growing body of institutional and legal experience since 2023:</w:t>
      </w:r>
    </w:p>
    <w:p w14:paraId="0F01019B"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Humanise before </w:t>
      </w:r>
      <w:proofErr w:type="gramStart"/>
      <w:r>
        <w:rPr>
          <w:rFonts w:ascii="Calibri" w:eastAsia="Calibri" w:hAnsi="Calibri" w:cs="Calibri"/>
          <w:b/>
          <w:bCs/>
          <w:sz w:val="22"/>
          <w:szCs w:val="22"/>
        </w:rPr>
        <w:t>historicise</w:t>
      </w:r>
      <w:proofErr w:type="gramEnd"/>
      <w:r>
        <w:rPr>
          <w:rFonts w:ascii="Calibri" w:eastAsia="Calibri" w:hAnsi="Calibri" w:cs="Calibri"/>
          <w:b/>
          <w:bCs/>
          <w:sz w:val="22"/>
          <w:szCs w:val="22"/>
        </w:rPr>
        <w:t xml:space="preserve">. </w:t>
      </w:r>
      <w:r>
        <w:rPr>
          <w:rFonts w:ascii="Calibri" w:eastAsia="Calibri" w:hAnsi="Calibri" w:cs="Calibri"/>
          <w:sz w:val="22"/>
          <w:szCs w:val="22"/>
        </w:rPr>
        <w:t>Establish Jewish humanity, culture, and diversity before engaging with persecution and genocide. Students who encounter Jewish people as fully human before encountering them as victims develop more durable empathy.</w:t>
      </w:r>
    </w:p>
    <w:p w14:paraId="34A75726"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Connect past to present. </w:t>
      </w:r>
      <w:r>
        <w:rPr>
          <w:rFonts w:ascii="Calibri" w:eastAsia="Calibri" w:hAnsi="Calibri" w:cs="Calibri"/>
          <w:sz w:val="22"/>
          <w:szCs w:val="22"/>
        </w:rPr>
        <w:t>Every effective program explicitly maps historical forms of antisemitism onto their contemporary manifestations. Leaving this connection implicit is one of the most common and consequential failures in Holocaust education.</w:t>
      </w:r>
    </w:p>
    <w:p w14:paraId="12C71D5B"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Prioritise structured empathy over information delivery. </w:t>
      </w:r>
      <w:r>
        <w:rPr>
          <w:rFonts w:ascii="Calibri" w:eastAsia="Calibri" w:hAnsi="Calibri" w:cs="Calibri"/>
          <w:sz w:val="22"/>
          <w:szCs w:val="22"/>
        </w:rPr>
        <w:t>Perspective-taking, testimony, equal-status contact, and imagined contact consistently outperform factual instruction alone in producing attitudinal change.</w:t>
      </w:r>
    </w:p>
    <w:p w14:paraId="7BBDE9A5" w14:textId="77777777" w:rsidR="00255742" w:rsidRDefault="00000000">
      <w:pPr>
        <w:pStyle w:val="ListParagraph"/>
        <w:numPr>
          <w:ilvl w:val="0"/>
          <w:numId w:val="2"/>
        </w:numPr>
        <w:spacing w:after="120" w:line="276" w:lineRule="auto"/>
      </w:pPr>
      <w:proofErr w:type="spellStart"/>
      <w:r>
        <w:rPr>
          <w:rFonts w:ascii="Calibri" w:eastAsia="Calibri" w:hAnsi="Calibri" w:cs="Calibri"/>
          <w:b/>
          <w:bCs/>
          <w:sz w:val="22"/>
          <w:szCs w:val="22"/>
        </w:rPr>
        <w:t>Prebunk</w:t>
      </w:r>
      <w:proofErr w:type="spellEnd"/>
      <w:r>
        <w:rPr>
          <w:rFonts w:ascii="Calibri" w:eastAsia="Calibri" w:hAnsi="Calibri" w:cs="Calibri"/>
          <w:b/>
          <w:bCs/>
          <w:sz w:val="22"/>
          <w:szCs w:val="22"/>
        </w:rPr>
        <w:t xml:space="preserve"> rather than debunk. </w:t>
      </w:r>
      <w:r>
        <w:rPr>
          <w:rFonts w:ascii="Calibri" w:eastAsia="Calibri" w:hAnsi="Calibri" w:cs="Calibri"/>
          <w:sz w:val="22"/>
          <w:szCs w:val="22"/>
        </w:rPr>
        <w:t>Teaching the logic and mechanics of conspiracy and hate speech before students encounter it is more effective and safer than reactive refutation.</w:t>
      </w:r>
    </w:p>
    <w:p w14:paraId="3FB96AFC"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Sustain and mandate. </w:t>
      </w:r>
      <w:r>
        <w:rPr>
          <w:rFonts w:ascii="Calibri" w:eastAsia="Calibri" w:hAnsi="Calibri" w:cs="Calibri"/>
          <w:sz w:val="22"/>
          <w:szCs w:val="22"/>
        </w:rPr>
        <w:t>Single events do not produce durable change. Effective programs are curriculum-integrated, repeated across year levels, and mandated rather than optional.</w:t>
      </w:r>
    </w:p>
    <w:p w14:paraId="474A0BC1"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Separate speech from conduct. </w:t>
      </w:r>
      <w:r>
        <w:rPr>
          <w:rFonts w:ascii="Calibri" w:eastAsia="Calibri" w:hAnsi="Calibri" w:cs="Calibri"/>
          <w:sz w:val="22"/>
          <w:szCs w:val="22"/>
        </w:rPr>
        <w:t>The most defensible institutional policies regulate harassment, intimidation, and obstruction — not political viewpoint — and apply those rules consistently regardless of which side of a debate a person is on.</w:t>
      </w:r>
    </w:p>
    <w:p w14:paraId="7EB1CC84"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Evaluate rigorously. </w:t>
      </w:r>
      <w:r>
        <w:rPr>
          <w:rFonts w:ascii="Calibri" w:eastAsia="Calibri" w:hAnsi="Calibri" w:cs="Calibri"/>
          <w:sz w:val="22"/>
          <w:szCs w:val="22"/>
        </w:rPr>
        <w:t>The greatest single gap in the field remains the absence of systematic outcome evaluation. Practitioners should build assessment of attitudinal and behavioural change into program design, not treat it as an afterthought.</w:t>
      </w:r>
    </w:p>
    <w:p w14:paraId="05FFE941" w14:textId="77777777" w:rsidR="00255742" w:rsidRDefault="00000000">
      <w:pPr>
        <w:pStyle w:val="ListParagraph"/>
        <w:numPr>
          <w:ilvl w:val="0"/>
          <w:numId w:val="2"/>
        </w:numPr>
        <w:spacing w:after="120" w:line="276" w:lineRule="auto"/>
      </w:pPr>
      <w:r>
        <w:rPr>
          <w:rFonts w:ascii="Calibri" w:eastAsia="Calibri" w:hAnsi="Calibri" w:cs="Calibri"/>
          <w:b/>
          <w:bCs/>
          <w:sz w:val="22"/>
          <w:szCs w:val="22"/>
        </w:rPr>
        <w:t xml:space="preserve">Partner with communities. </w:t>
      </w:r>
      <w:r>
        <w:rPr>
          <w:rFonts w:ascii="Calibri" w:eastAsia="Calibri" w:hAnsi="Calibri" w:cs="Calibri"/>
          <w:sz w:val="22"/>
          <w:szCs w:val="22"/>
        </w:rPr>
        <w:t>Programs co-designed with Jewish community organisations — and, where relevant, Palestinian and Muslim community organisations on the free-speech dimension — are more accurate, more responsive to contemporary concerns, and better received than externally designed curricula.</w:t>
      </w:r>
    </w:p>
    <w:p w14:paraId="45A41B7C" w14:textId="77777777" w:rsidR="00255742" w:rsidRDefault="00255742">
      <w:pPr>
        <w:spacing w:after="200"/>
      </w:pPr>
    </w:p>
    <w:p w14:paraId="43BF38B7" w14:textId="77777777" w:rsidR="00255742" w:rsidRDefault="00255742">
      <w:pPr>
        <w:pBdr>
          <w:bottom w:val="single" w:sz="10" w:space="1" w:color="1F3864"/>
        </w:pBdr>
        <w:spacing w:after="200"/>
      </w:pPr>
    </w:p>
    <w:p w14:paraId="19EFA810" w14:textId="77777777" w:rsidR="00255742" w:rsidRDefault="00000000">
      <w:pPr>
        <w:pStyle w:val="Heading1"/>
        <w:pBdr>
          <w:bottom w:val="single" w:sz="6" w:space="4" w:color="1F3864"/>
        </w:pBdr>
        <w:spacing w:before="400" w:after="200"/>
      </w:pPr>
      <w:r>
        <w:rPr>
          <w:rFonts w:ascii="Calibri" w:eastAsia="Calibri" w:hAnsi="Calibri" w:cs="Calibri"/>
          <w:b/>
          <w:bCs/>
          <w:color w:val="1F3864"/>
          <w:sz w:val="30"/>
          <w:szCs w:val="30"/>
        </w:rPr>
        <w:t>Sources and Further Reading</w:t>
      </w:r>
    </w:p>
    <w:p w14:paraId="1A0F30A7" w14:textId="77777777" w:rsidR="00255742" w:rsidRDefault="00000000">
      <w:pPr>
        <w:spacing w:after="160" w:line="276" w:lineRule="auto"/>
      </w:pPr>
      <w:r>
        <w:rPr>
          <w:rFonts w:ascii="Calibri" w:eastAsia="Calibri" w:hAnsi="Calibri" w:cs="Calibri"/>
          <w:sz w:val="22"/>
          <w:szCs w:val="22"/>
        </w:rPr>
        <w:t>The following sources informed this guide:</w:t>
      </w:r>
    </w:p>
    <w:p w14:paraId="53CA2B0B" w14:textId="77777777" w:rsidR="00255742" w:rsidRDefault="00255742">
      <w:pPr>
        <w:spacing w:after="60"/>
      </w:pPr>
    </w:p>
    <w:p w14:paraId="0DE21D91"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Springer (2026). Education against antisemitism: A scoping review. </w:t>
      </w:r>
      <w:proofErr w:type="spellStart"/>
      <w:r>
        <w:rPr>
          <w:rFonts w:ascii="Calibri" w:eastAsia="Calibri" w:hAnsi="Calibri" w:cs="Calibri"/>
          <w:sz w:val="22"/>
          <w:szCs w:val="22"/>
        </w:rPr>
        <w:t>Zeitschrift</w:t>
      </w:r>
      <w:proofErr w:type="spellEnd"/>
      <w:r>
        <w:rPr>
          <w:rFonts w:ascii="Calibri" w:eastAsia="Calibri" w:hAnsi="Calibri" w:cs="Calibri"/>
          <w:sz w:val="22"/>
          <w:szCs w:val="22"/>
        </w:rPr>
        <w:t xml:space="preserve"> für </w:t>
      </w:r>
      <w:proofErr w:type="spellStart"/>
      <w:r>
        <w:rPr>
          <w:rFonts w:ascii="Calibri" w:eastAsia="Calibri" w:hAnsi="Calibri" w:cs="Calibri"/>
          <w:sz w:val="22"/>
          <w:szCs w:val="22"/>
        </w:rPr>
        <w:t>Bildungsforschung</w:t>
      </w:r>
      <w:proofErr w:type="spellEnd"/>
      <w:r>
        <w:rPr>
          <w:rFonts w:ascii="Calibri" w:eastAsia="Calibri" w:hAnsi="Calibri" w:cs="Calibri"/>
          <w:sz w:val="22"/>
          <w:szCs w:val="22"/>
        </w:rPr>
        <w:t>.</w:t>
      </w:r>
    </w:p>
    <w:p w14:paraId="3694EB9D" w14:textId="77777777" w:rsidR="00255742" w:rsidRDefault="00000000">
      <w:pPr>
        <w:pStyle w:val="ListParagraph"/>
        <w:numPr>
          <w:ilvl w:val="0"/>
          <w:numId w:val="2"/>
        </w:numPr>
        <w:spacing w:after="120" w:line="276" w:lineRule="auto"/>
      </w:pPr>
      <w:proofErr w:type="spellStart"/>
      <w:r>
        <w:rPr>
          <w:rFonts w:ascii="Calibri" w:eastAsia="Calibri" w:hAnsi="Calibri" w:cs="Calibri"/>
          <w:sz w:val="22"/>
          <w:szCs w:val="22"/>
        </w:rPr>
        <w:lastRenderedPageBreak/>
        <w:t>Gotovos</w:t>
      </w:r>
      <w:proofErr w:type="spellEnd"/>
      <w:r>
        <w:rPr>
          <w:rFonts w:ascii="Calibri" w:eastAsia="Calibri" w:hAnsi="Calibri" w:cs="Calibri"/>
          <w:sz w:val="22"/>
          <w:szCs w:val="22"/>
        </w:rPr>
        <w:t>, A. (2026). Countering antisemitism through education: conditions for a successful intervention in Greek schools. Frontiers in Education, 11.</w:t>
      </w:r>
    </w:p>
    <w:p w14:paraId="0A1FB8C2" w14:textId="77777777" w:rsidR="00255742" w:rsidRDefault="00000000">
      <w:pPr>
        <w:pStyle w:val="ListParagraph"/>
        <w:numPr>
          <w:ilvl w:val="0"/>
          <w:numId w:val="2"/>
        </w:numPr>
        <w:spacing w:after="120" w:line="276" w:lineRule="auto"/>
      </w:pPr>
      <w:proofErr w:type="spellStart"/>
      <w:r>
        <w:rPr>
          <w:rFonts w:ascii="Calibri" w:eastAsia="Calibri" w:hAnsi="Calibri" w:cs="Calibri"/>
          <w:sz w:val="22"/>
          <w:szCs w:val="22"/>
        </w:rPr>
        <w:t>Tandfonline</w:t>
      </w:r>
      <w:proofErr w:type="spellEnd"/>
      <w:r>
        <w:rPr>
          <w:rFonts w:ascii="Calibri" w:eastAsia="Calibri" w:hAnsi="Calibri" w:cs="Calibri"/>
          <w:sz w:val="22"/>
          <w:szCs w:val="22"/>
        </w:rPr>
        <w:t xml:space="preserve"> (2024). Countering antisemitism through Holocaust education: A comparative perspective on Scotland and Austria. Educational Review.</w:t>
      </w:r>
    </w:p>
    <w:p w14:paraId="7DFFB254"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ADL </w:t>
      </w:r>
      <w:proofErr w:type="spellStart"/>
      <w:r>
        <w:rPr>
          <w:rFonts w:ascii="Calibri" w:eastAsia="Calibri" w:hAnsi="Calibri" w:cs="Calibri"/>
          <w:sz w:val="22"/>
          <w:szCs w:val="22"/>
        </w:rPr>
        <w:t>Center</w:t>
      </w:r>
      <w:proofErr w:type="spellEnd"/>
      <w:r>
        <w:rPr>
          <w:rFonts w:ascii="Calibri" w:eastAsia="Calibri" w:hAnsi="Calibri" w:cs="Calibri"/>
          <w:sz w:val="22"/>
          <w:szCs w:val="22"/>
        </w:rPr>
        <w:t xml:space="preserve"> for Antisemitism Research (2024). Interventions to Counter Antisemitism, Vol. 1.</w:t>
      </w:r>
    </w:p>
    <w:p w14:paraId="55694823"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ADL </w:t>
      </w:r>
      <w:proofErr w:type="spellStart"/>
      <w:r>
        <w:rPr>
          <w:rFonts w:ascii="Calibri" w:eastAsia="Calibri" w:hAnsi="Calibri" w:cs="Calibri"/>
          <w:sz w:val="22"/>
          <w:szCs w:val="22"/>
        </w:rPr>
        <w:t>Center</w:t>
      </w:r>
      <w:proofErr w:type="spellEnd"/>
      <w:r>
        <w:rPr>
          <w:rFonts w:ascii="Calibri" w:eastAsia="Calibri" w:hAnsi="Calibri" w:cs="Calibri"/>
          <w:sz w:val="22"/>
          <w:szCs w:val="22"/>
        </w:rPr>
        <w:t xml:space="preserve"> for Antisemitism Research (2024). Antisemitism in Schools and Support for Holocaust Education.</w:t>
      </w:r>
    </w:p>
    <w:p w14:paraId="430137B6" w14:textId="77777777" w:rsidR="00255742" w:rsidRDefault="00000000">
      <w:pPr>
        <w:pStyle w:val="ListParagraph"/>
        <w:numPr>
          <w:ilvl w:val="0"/>
          <w:numId w:val="2"/>
        </w:numPr>
        <w:spacing w:after="120" w:line="276" w:lineRule="auto"/>
      </w:pPr>
      <w:r>
        <w:rPr>
          <w:rFonts w:ascii="Calibri" w:eastAsia="Calibri" w:hAnsi="Calibri" w:cs="Calibri"/>
          <w:sz w:val="22"/>
          <w:szCs w:val="22"/>
        </w:rPr>
        <w:t>ADL (2026). 2026 Campus Antisemitism Report Card.</w:t>
      </w:r>
    </w:p>
    <w:p w14:paraId="20C32885" w14:textId="77777777" w:rsidR="00255742" w:rsidRDefault="00000000">
      <w:pPr>
        <w:pStyle w:val="ListParagraph"/>
        <w:numPr>
          <w:ilvl w:val="0"/>
          <w:numId w:val="2"/>
        </w:numPr>
        <w:spacing w:after="120" w:line="276" w:lineRule="auto"/>
      </w:pPr>
      <w:r>
        <w:rPr>
          <w:rFonts w:ascii="Calibri" w:eastAsia="Calibri" w:hAnsi="Calibri" w:cs="Calibri"/>
          <w:sz w:val="22"/>
          <w:szCs w:val="22"/>
        </w:rPr>
        <w:t>ADL (2025/2026). Audit of Antisemitic Incidents, and Two Years of Turmoil: The Strategic Evolution of Anti-Israel Activism on U.S. Campuses and 2025–2026 Challenges.</w:t>
      </w:r>
    </w:p>
    <w:p w14:paraId="79F64344" w14:textId="77777777" w:rsidR="00255742" w:rsidRDefault="00000000">
      <w:pPr>
        <w:pStyle w:val="ListParagraph"/>
        <w:numPr>
          <w:ilvl w:val="0"/>
          <w:numId w:val="2"/>
        </w:numPr>
        <w:spacing w:after="120" w:line="276" w:lineRule="auto"/>
      </w:pPr>
      <w:r>
        <w:rPr>
          <w:rFonts w:ascii="Calibri" w:eastAsia="Calibri" w:hAnsi="Calibri" w:cs="Calibri"/>
          <w:sz w:val="22"/>
          <w:szCs w:val="22"/>
        </w:rPr>
        <w:t>StandWithUs Data &amp; Analytics (2026). Survey of Antisemitism Faced by American Jewish K-12 Educators.</w:t>
      </w:r>
    </w:p>
    <w:p w14:paraId="777F7672" w14:textId="77777777" w:rsidR="00255742" w:rsidRDefault="00000000">
      <w:pPr>
        <w:pStyle w:val="ListParagraph"/>
        <w:numPr>
          <w:ilvl w:val="0"/>
          <w:numId w:val="2"/>
        </w:numPr>
        <w:spacing w:after="120" w:line="276" w:lineRule="auto"/>
      </w:pPr>
      <w:r>
        <w:rPr>
          <w:rFonts w:ascii="Calibri" w:eastAsia="Calibri" w:hAnsi="Calibri" w:cs="Calibri"/>
          <w:sz w:val="22"/>
          <w:szCs w:val="22"/>
        </w:rPr>
        <w:t>Waldman-Levi, A. et al. (2026). Jewish Students' Experiences of Antisemitism in Higher Education Settings and Daily Occupations.</w:t>
      </w:r>
    </w:p>
    <w:p w14:paraId="6FEFDF15" w14:textId="77777777" w:rsidR="00255742" w:rsidRDefault="00000000">
      <w:pPr>
        <w:pStyle w:val="ListParagraph"/>
        <w:numPr>
          <w:ilvl w:val="0"/>
          <w:numId w:val="2"/>
        </w:numPr>
        <w:spacing w:after="120" w:line="276" w:lineRule="auto"/>
      </w:pPr>
      <w:r>
        <w:rPr>
          <w:rFonts w:ascii="Calibri" w:eastAsia="Calibri" w:hAnsi="Calibri" w:cs="Calibri"/>
          <w:sz w:val="22"/>
          <w:szCs w:val="22"/>
        </w:rPr>
        <w:t>UNESCO (2023–2025). Addressing Antisemitism through Education.</w:t>
      </w:r>
    </w:p>
    <w:p w14:paraId="604E2994" w14:textId="77777777" w:rsidR="00255742" w:rsidRDefault="00000000">
      <w:pPr>
        <w:pStyle w:val="ListParagraph"/>
        <w:numPr>
          <w:ilvl w:val="0"/>
          <w:numId w:val="2"/>
        </w:numPr>
        <w:spacing w:after="120" w:line="276" w:lineRule="auto"/>
      </w:pPr>
      <w:r>
        <w:rPr>
          <w:rFonts w:ascii="Calibri" w:eastAsia="Calibri" w:hAnsi="Calibri" w:cs="Calibri"/>
          <w:sz w:val="22"/>
          <w:szCs w:val="22"/>
        </w:rPr>
        <w:t>Pettigrew, T. &amp; Tropp, L. (2006). A meta-analytic test of intergroup contact theory. Journal of Personality and Social Psychology, 90(5), 751–783.</w:t>
      </w:r>
    </w:p>
    <w:p w14:paraId="319E03D5" w14:textId="77777777" w:rsidR="00255742" w:rsidRDefault="00000000">
      <w:pPr>
        <w:pStyle w:val="ListParagraph"/>
        <w:numPr>
          <w:ilvl w:val="0"/>
          <w:numId w:val="2"/>
        </w:numPr>
        <w:spacing w:after="120" w:line="276" w:lineRule="auto"/>
      </w:pPr>
      <w:r>
        <w:rPr>
          <w:rFonts w:ascii="Calibri" w:eastAsia="Calibri" w:hAnsi="Calibri" w:cs="Calibri"/>
          <w:sz w:val="22"/>
          <w:szCs w:val="22"/>
        </w:rPr>
        <w:t>Jolley, D. et al. (2023). More than a prejudice reduction effect: Positive intergroup contact reduces conspiracy theory beliefs. European Journal of Social Psychology.</w:t>
      </w:r>
    </w:p>
    <w:p w14:paraId="1605DFE4"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Cambridge Core (2023). Combating hateful attitudes and online browsing </w:t>
      </w:r>
      <w:proofErr w:type="spellStart"/>
      <w:r>
        <w:rPr>
          <w:rFonts w:ascii="Calibri" w:eastAsia="Calibri" w:hAnsi="Calibri" w:cs="Calibri"/>
          <w:sz w:val="22"/>
          <w:szCs w:val="22"/>
        </w:rPr>
        <w:t>behavior</w:t>
      </w:r>
      <w:proofErr w:type="spellEnd"/>
      <w:r>
        <w:rPr>
          <w:rFonts w:ascii="Calibri" w:eastAsia="Calibri" w:hAnsi="Calibri" w:cs="Calibri"/>
          <w:sz w:val="22"/>
          <w:szCs w:val="22"/>
        </w:rPr>
        <w:t>: The case of antisemitism. Journal of Experimental Political Science.</w:t>
      </w:r>
    </w:p>
    <w:p w14:paraId="7A6AFBAD" w14:textId="77777777" w:rsidR="00255742" w:rsidRDefault="00000000">
      <w:pPr>
        <w:pStyle w:val="ListParagraph"/>
        <w:numPr>
          <w:ilvl w:val="0"/>
          <w:numId w:val="2"/>
        </w:numPr>
        <w:spacing w:after="120" w:line="276" w:lineRule="auto"/>
      </w:pPr>
      <w:r>
        <w:rPr>
          <w:rFonts w:ascii="Calibri" w:eastAsia="Calibri" w:hAnsi="Calibri" w:cs="Calibri"/>
          <w:sz w:val="22"/>
          <w:szCs w:val="22"/>
        </w:rPr>
        <w:t>History &amp; Policy (2017/2025). Holocaust education and contemporary antisemitism.</w:t>
      </w:r>
    </w:p>
    <w:p w14:paraId="7546117B"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Jewish Telegraphic Agency (January 2025). Everyone has a plan to fight antisemitism. Few have studied what </w:t>
      </w:r>
      <w:proofErr w:type="gramStart"/>
      <w:r>
        <w:rPr>
          <w:rFonts w:ascii="Calibri" w:eastAsia="Calibri" w:hAnsi="Calibri" w:cs="Calibri"/>
          <w:sz w:val="22"/>
          <w:szCs w:val="22"/>
        </w:rPr>
        <w:t>actually works</w:t>
      </w:r>
      <w:proofErr w:type="gramEnd"/>
      <w:r>
        <w:rPr>
          <w:rFonts w:ascii="Calibri" w:eastAsia="Calibri" w:hAnsi="Calibri" w:cs="Calibri"/>
          <w:sz w:val="22"/>
          <w:szCs w:val="22"/>
        </w:rPr>
        <w:t>.</w:t>
      </w:r>
    </w:p>
    <w:p w14:paraId="1C19A2A2" w14:textId="77777777" w:rsidR="00255742" w:rsidRDefault="00000000">
      <w:pPr>
        <w:pStyle w:val="ListParagraph"/>
        <w:numPr>
          <w:ilvl w:val="0"/>
          <w:numId w:val="2"/>
        </w:numPr>
        <w:spacing w:after="120" w:line="276" w:lineRule="auto"/>
      </w:pPr>
      <w:r>
        <w:rPr>
          <w:rFonts w:ascii="Calibri" w:eastAsia="Calibri" w:hAnsi="Calibri" w:cs="Calibri"/>
          <w:sz w:val="22"/>
          <w:szCs w:val="22"/>
        </w:rPr>
        <w:t>Liberation75 / Ontario Ministry of Education (2023–2024). Survey of Grade 6 Students on the Holocaust and Antisemitism.</w:t>
      </w:r>
    </w:p>
    <w:p w14:paraId="1E80D993" w14:textId="77777777" w:rsidR="00255742" w:rsidRDefault="00000000">
      <w:pPr>
        <w:pStyle w:val="ListParagraph"/>
        <w:numPr>
          <w:ilvl w:val="0"/>
          <w:numId w:val="2"/>
        </w:numPr>
        <w:spacing w:after="120" w:line="276" w:lineRule="auto"/>
      </w:pPr>
      <w:r>
        <w:rPr>
          <w:rFonts w:ascii="Calibri" w:eastAsia="Calibri" w:hAnsi="Calibri" w:cs="Calibri"/>
          <w:sz w:val="22"/>
          <w:szCs w:val="22"/>
        </w:rPr>
        <w:t xml:space="preserve">BRISMES &amp; European Legal Support </w:t>
      </w:r>
      <w:proofErr w:type="spellStart"/>
      <w:r>
        <w:rPr>
          <w:rFonts w:ascii="Calibri" w:eastAsia="Calibri" w:hAnsi="Calibri" w:cs="Calibri"/>
          <w:sz w:val="22"/>
          <w:szCs w:val="22"/>
        </w:rPr>
        <w:t>Center</w:t>
      </w:r>
      <w:proofErr w:type="spellEnd"/>
      <w:r>
        <w:rPr>
          <w:rFonts w:ascii="Calibri" w:eastAsia="Calibri" w:hAnsi="Calibri" w:cs="Calibri"/>
          <w:sz w:val="22"/>
          <w:szCs w:val="22"/>
        </w:rPr>
        <w:t xml:space="preserve"> (2023). Freedom of Speech and Academic Freedom in UK Higher Education: The Adverse Impact of the IHRA Definition of Antisemitism.</w:t>
      </w:r>
    </w:p>
    <w:p w14:paraId="5027A322" w14:textId="77777777" w:rsidR="00255742" w:rsidRDefault="00000000">
      <w:pPr>
        <w:pStyle w:val="ListParagraph"/>
        <w:numPr>
          <w:ilvl w:val="0"/>
          <w:numId w:val="2"/>
        </w:numPr>
        <w:spacing w:after="120" w:line="276" w:lineRule="auto"/>
      </w:pPr>
      <w:r>
        <w:rPr>
          <w:rFonts w:ascii="Calibri" w:eastAsia="Calibri" w:hAnsi="Calibri" w:cs="Calibri"/>
          <w:sz w:val="22"/>
          <w:szCs w:val="22"/>
        </w:rPr>
        <w:t>UCL UCU (2021). Can the IHRA Working Definition Be Implemented?</w:t>
      </w:r>
    </w:p>
    <w:p w14:paraId="1BAA3B2D" w14:textId="77777777" w:rsidR="00255742" w:rsidRDefault="00000000">
      <w:pPr>
        <w:pStyle w:val="ListParagraph"/>
        <w:numPr>
          <w:ilvl w:val="0"/>
          <w:numId w:val="2"/>
        </w:numPr>
        <w:spacing w:after="120" w:line="276" w:lineRule="auto"/>
      </w:pPr>
      <w:r>
        <w:rPr>
          <w:rFonts w:ascii="Calibri" w:eastAsia="Calibri" w:hAnsi="Calibri" w:cs="Calibri"/>
          <w:sz w:val="22"/>
          <w:szCs w:val="22"/>
        </w:rPr>
        <w:t>Farrukh Najeeb Husain v Solicitors Regulation Authority [2025] EWHC 1170 (Admin).</w:t>
      </w:r>
    </w:p>
    <w:p w14:paraId="6CACEF6F" w14:textId="77777777" w:rsidR="00255742" w:rsidRDefault="00000000">
      <w:pPr>
        <w:pStyle w:val="ListParagraph"/>
        <w:numPr>
          <w:ilvl w:val="0"/>
          <w:numId w:val="2"/>
        </w:numPr>
        <w:spacing w:after="120" w:line="276" w:lineRule="auto"/>
      </w:pPr>
      <w:r>
        <w:rPr>
          <w:rFonts w:ascii="Calibri" w:eastAsia="Calibri" w:hAnsi="Calibri" w:cs="Calibri"/>
          <w:sz w:val="22"/>
          <w:szCs w:val="22"/>
        </w:rPr>
        <w:t>Professional Standards Authority for Health and Social Care v General Pharmaceutical Council, Ali (Interested Party) [2024] EWHC 577 (Admin).</w:t>
      </w:r>
    </w:p>
    <w:p w14:paraId="416A571B" w14:textId="77777777" w:rsidR="00255742" w:rsidRDefault="00000000">
      <w:pPr>
        <w:pStyle w:val="ListParagraph"/>
        <w:numPr>
          <w:ilvl w:val="0"/>
          <w:numId w:val="2"/>
        </w:numPr>
        <w:spacing w:after="120" w:line="276" w:lineRule="auto"/>
      </w:pPr>
      <w:r>
        <w:rPr>
          <w:rFonts w:ascii="Calibri" w:eastAsia="Calibri" w:hAnsi="Calibri" w:cs="Calibri"/>
          <w:sz w:val="22"/>
          <w:szCs w:val="22"/>
        </w:rPr>
        <w:t>Jerusalem Declaration on Antisemitism (2021), Van Leer Jerusalem Institute.</w:t>
      </w:r>
    </w:p>
    <w:p w14:paraId="279C824C" w14:textId="77777777" w:rsidR="00255742" w:rsidRDefault="00000000">
      <w:pPr>
        <w:pStyle w:val="ListParagraph"/>
        <w:numPr>
          <w:ilvl w:val="0"/>
          <w:numId w:val="2"/>
        </w:numPr>
        <w:spacing w:after="120" w:line="276" w:lineRule="auto"/>
      </w:pPr>
      <w:r>
        <w:rPr>
          <w:rFonts w:ascii="Calibri" w:eastAsia="Calibri" w:hAnsi="Calibri" w:cs="Calibri"/>
          <w:sz w:val="22"/>
          <w:szCs w:val="22"/>
        </w:rPr>
        <w:t>Bernstein, D.E. &amp; Bernstein, D.L. (2025). Supporting Free Speech and Countering Antisemitism on American College Campuses. Harvard Journal of Law &amp; Public Policy.</w:t>
      </w:r>
    </w:p>
    <w:p w14:paraId="3A3F6F22" w14:textId="77777777" w:rsidR="00255742" w:rsidRDefault="00000000">
      <w:pPr>
        <w:pStyle w:val="ListParagraph"/>
        <w:numPr>
          <w:ilvl w:val="0"/>
          <w:numId w:val="2"/>
        </w:numPr>
        <w:spacing w:after="120" w:line="276" w:lineRule="auto"/>
      </w:pPr>
      <w:r>
        <w:rPr>
          <w:rFonts w:ascii="Calibri" w:eastAsia="Calibri" w:hAnsi="Calibri" w:cs="Calibri"/>
          <w:sz w:val="22"/>
          <w:szCs w:val="22"/>
        </w:rPr>
        <w:t>ADL (2025). Frequently Asked Questions About Free Speech on Campus.</w:t>
      </w:r>
    </w:p>
    <w:p w14:paraId="2E9736CE" w14:textId="77777777" w:rsidR="00255742" w:rsidRDefault="00000000">
      <w:pPr>
        <w:pStyle w:val="ListParagraph"/>
        <w:numPr>
          <w:ilvl w:val="0"/>
          <w:numId w:val="2"/>
        </w:numPr>
        <w:spacing w:after="120" w:line="276" w:lineRule="auto"/>
      </w:pPr>
      <w:r>
        <w:rPr>
          <w:rFonts w:ascii="Calibri" w:eastAsia="Calibri" w:hAnsi="Calibri" w:cs="Calibri"/>
          <w:sz w:val="22"/>
          <w:szCs w:val="22"/>
        </w:rPr>
        <w:t>Inside Higher Ed (2025–2026). Provosts Agree Antisemitism on Campus Is a Problem; Report: Campus Antisemitism Declined in 2025.</w:t>
      </w:r>
    </w:p>
    <w:p w14:paraId="7A1E534D" w14:textId="77777777" w:rsidR="00255742" w:rsidRDefault="00000000">
      <w:pPr>
        <w:pStyle w:val="ListParagraph"/>
        <w:numPr>
          <w:ilvl w:val="0"/>
          <w:numId w:val="2"/>
        </w:numPr>
        <w:spacing w:after="120" w:line="276" w:lineRule="auto"/>
      </w:pPr>
      <w:r>
        <w:rPr>
          <w:rFonts w:ascii="Calibri" w:eastAsia="Calibri" w:hAnsi="Calibri" w:cs="Calibri"/>
          <w:sz w:val="22"/>
          <w:szCs w:val="22"/>
        </w:rPr>
        <w:lastRenderedPageBreak/>
        <w:t xml:space="preserve">Parliamentary Joint Committee on Human Rights (2025). Inquiry into Antisemitism at Australian Universities. </w:t>
      </w:r>
      <w:proofErr w:type="gramStart"/>
      <w:r>
        <w:rPr>
          <w:rFonts w:ascii="Calibri" w:eastAsia="Calibri" w:hAnsi="Calibri" w:cs="Calibri"/>
          <w:sz w:val="22"/>
          <w:szCs w:val="22"/>
        </w:rPr>
        <w:t>Parliament of Australia,</w:t>
      </w:r>
      <w:proofErr w:type="gramEnd"/>
      <w:r>
        <w:rPr>
          <w:rFonts w:ascii="Calibri" w:eastAsia="Calibri" w:hAnsi="Calibri" w:cs="Calibri"/>
          <w:sz w:val="22"/>
          <w:szCs w:val="22"/>
        </w:rPr>
        <w:t xml:space="preserve"> tabled 12 February 2025.</w:t>
      </w:r>
    </w:p>
    <w:p w14:paraId="786EA256" w14:textId="77777777" w:rsidR="00255742" w:rsidRDefault="00000000">
      <w:pPr>
        <w:pStyle w:val="ListParagraph"/>
        <w:numPr>
          <w:ilvl w:val="0"/>
          <w:numId w:val="2"/>
        </w:numPr>
        <w:spacing w:after="120" w:line="276" w:lineRule="auto"/>
      </w:pPr>
      <w:r>
        <w:rPr>
          <w:rFonts w:ascii="Calibri" w:eastAsia="Calibri" w:hAnsi="Calibri" w:cs="Calibri"/>
          <w:sz w:val="22"/>
          <w:szCs w:val="22"/>
        </w:rPr>
        <w:t>Senate Legal and Constitutional Affairs Legislation Committee (2024). Commission of Inquiry into Antisemitism at Australian Universities Bill 2024 (No. 2).</w:t>
      </w:r>
    </w:p>
    <w:p w14:paraId="4756B6B3" w14:textId="77777777" w:rsidR="00255742" w:rsidRDefault="00000000">
      <w:pPr>
        <w:pStyle w:val="ListParagraph"/>
        <w:numPr>
          <w:ilvl w:val="0"/>
          <w:numId w:val="2"/>
        </w:numPr>
        <w:spacing w:after="120" w:line="276" w:lineRule="auto"/>
      </w:pPr>
      <w:r>
        <w:rPr>
          <w:rFonts w:ascii="Calibri" w:eastAsia="Calibri" w:hAnsi="Calibri" w:cs="Calibri"/>
          <w:sz w:val="22"/>
          <w:szCs w:val="22"/>
        </w:rPr>
        <w:t>Australian Human Rights Commission (2026). Respect at Uni: Study into Antisemitism, Islamophobia, Racism and the Experience of First Nations People (</w:t>
      </w:r>
      <w:proofErr w:type="spellStart"/>
      <w:r>
        <w:rPr>
          <w:rFonts w:ascii="Calibri" w:eastAsia="Calibri" w:hAnsi="Calibri" w:cs="Calibri"/>
          <w:sz w:val="22"/>
          <w:szCs w:val="22"/>
        </w:rPr>
        <w:t>Racism@Uni</w:t>
      </w:r>
      <w:proofErr w:type="spellEnd"/>
      <w:r>
        <w:rPr>
          <w:rFonts w:ascii="Calibri" w:eastAsia="Calibri" w:hAnsi="Calibri" w:cs="Calibri"/>
          <w:sz w:val="22"/>
          <w:szCs w:val="22"/>
        </w:rPr>
        <w:t xml:space="preserve"> Study). Final report delivered December 2025, released February 2026.</w:t>
      </w:r>
    </w:p>
    <w:p w14:paraId="64ABDBCC" w14:textId="77777777" w:rsidR="00255742" w:rsidRDefault="00000000">
      <w:pPr>
        <w:pStyle w:val="ListParagraph"/>
        <w:numPr>
          <w:ilvl w:val="0"/>
          <w:numId w:val="2"/>
        </w:numPr>
        <w:spacing w:after="120" w:line="276" w:lineRule="auto"/>
      </w:pPr>
      <w:r>
        <w:rPr>
          <w:rFonts w:ascii="Calibri" w:eastAsia="Calibri" w:hAnsi="Calibri" w:cs="Calibri"/>
          <w:sz w:val="22"/>
          <w:szCs w:val="22"/>
        </w:rPr>
        <w:t>Markus, A. / The Jewish Independent (2025). Crossroads25: Australian Attitudes to Jews, Israel and Antisemitism. YouGov, n = 2,270, August 2025.</w:t>
      </w:r>
    </w:p>
    <w:p w14:paraId="301C1B18" w14:textId="77777777" w:rsidR="00255742" w:rsidRDefault="00000000">
      <w:pPr>
        <w:pStyle w:val="ListParagraph"/>
        <w:numPr>
          <w:ilvl w:val="0"/>
          <w:numId w:val="2"/>
        </w:numPr>
        <w:spacing w:after="120" w:line="276" w:lineRule="auto"/>
      </w:pPr>
      <w:r>
        <w:rPr>
          <w:rFonts w:ascii="Calibri" w:eastAsia="Calibri" w:hAnsi="Calibri" w:cs="Calibri"/>
          <w:sz w:val="22"/>
          <w:szCs w:val="22"/>
        </w:rPr>
        <w:t>Australian Academic Alliance against Antisemitism (2025). Antisemitism in Australian Universities post 7 October.</w:t>
      </w:r>
    </w:p>
    <w:p w14:paraId="41483678" w14:textId="77777777" w:rsidR="00255742" w:rsidRDefault="00000000">
      <w:pPr>
        <w:pStyle w:val="ListParagraph"/>
        <w:numPr>
          <w:ilvl w:val="0"/>
          <w:numId w:val="2"/>
        </w:numPr>
        <w:spacing w:after="120" w:line="276" w:lineRule="auto"/>
      </w:pPr>
      <w:r>
        <w:rPr>
          <w:rFonts w:ascii="Calibri" w:eastAsia="Calibri" w:hAnsi="Calibri" w:cs="Calibri"/>
          <w:sz w:val="22"/>
          <w:szCs w:val="22"/>
        </w:rPr>
        <w:t>Centre for Independent Studies (2026). Progressive Intolerance: The Antisemitism Landscape in Australia.</w:t>
      </w:r>
    </w:p>
    <w:p w14:paraId="0A5E6FC4" w14:textId="77777777" w:rsidR="00255742" w:rsidRDefault="00255742">
      <w:pPr>
        <w:spacing w:after="200"/>
      </w:pPr>
    </w:p>
    <w:p w14:paraId="63F26155" w14:textId="58DDAB3D" w:rsidR="00255742" w:rsidRDefault="00000000">
      <w:pPr>
        <w:pBdr>
          <w:top w:val="single" w:sz="4" w:space="3" w:color="CCCCCC"/>
        </w:pBdr>
        <w:spacing w:before="200"/>
        <w:jc w:val="center"/>
      </w:pPr>
      <w:r>
        <w:rPr>
          <w:rFonts w:ascii="Calibri" w:eastAsia="Calibri" w:hAnsi="Calibri" w:cs="Calibri"/>
          <w:color w:val="777777"/>
          <w:sz w:val="18"/>
          <w:szCs w:val="18"/>
        </w:rPr>
        <w:t>This document is intended for use in educational policy and curriculum design. It should be read in conjunction with current institutional guidelines on anti-discrimination, academic freedom, and duty of care.</w:t>
      </w:r>
      <w:r w:rsidR="006A6658">
        <w:rPr>
          <w:rFonts w:ascii="Calibri" w:eastAsia="Calibri" w:hAnsi="Calibri" w:cs="Calibri"/>
          <w:color w:val="777777"/>
          <w:sz w:val="18"/>
          <w:szCs w:val="18"/>
        </w:rPr>
        <w:t xml:space="preserve"> Creative Commons CC BY-NC-ND.</w:t>
      </w:r>
    </w:p>
    <w:sectPr w:rsidR="00255742">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909AAE" w14:textId="77777777" w:rsidR="00003C7B" w:rsidRDefault="00003C7B">
      <w:r>
        <w:separator/>
      </w:r>
    </w:p>
  </w:endnote>
  <w:endnote w:type="continuationSeparator" w:id="0">
    <w:p w14:paraId="0850883B" w14:textId="77777777" w:rsidR="00003C7B" w:rsidRDefault="0000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E6CEDE" w14:textId="77777777" w:rsidR="00255742" w:rsidRDefault="00000000">
    <w:pPr>
      <w:jc w:val="center"/>
    </w:pPr>
    <w:r>
      <w:rPr>
        <w:rFonts w:ascii="Calibri" w:eastAsia="Calibri" w:hAnsi="Calibri" w:cs="Calibri"/>
        <w:color w:val="777777"/>
        <w:sz w:val="16"/>
        <w:szCs w:val="16"/>
      </w:rPr>
      <w:t xml:space="preserve">Page </w:t>
    </w:r>
    <w:r>
      <w:rPr>
        <w:rFonts w:ascii="Calibri" w:eastAsia="Calibri" w:hAnsi="Calibri" w:cs="Calibri"/>
        <w:color w:val="777777"/>
        <w:sz w:val="16"/>
        <w:szCs w:val="16"/>
      </w:rPr>
      <w:fldChar w:fldCharType="begin"/>
    </w:r>
    <w:r>
      <w:rPr>
        <w:rFonts w:ascii="Calibri" w:eastAsia="Calibri" w:hAnsi="Calibri" w:cs="Calibri"/>
        <w:color w:val="777777"/>
        <w:sz w:val="16"/>
        <w:szCs w:val="16"/>
      </w:rPr>
      <w:instrText>PAGE</w:instrText>
    </w:r>
    <w:r>
      <w:rPr>
        <w:rFonts w:ascii="Calibri" w:eastAsia="Calibri" w:hAnsi="Calibri" w:cs="Calibri"/>
        <w:color w:val="777777"/>
        <w:sz w:val="16"/>
        <w:szCs w:val="16"/>
      </w:rPr>
      <w:fldChar w:fldCharType="separate"/>
    </w:r>
    <w:r w:rsidR="003B14C3">
      <w:rPr>
        <w:rFonts w:ascii="Calibri" w:eastAsia="Calibri" w:hAnsi="Calibri" w:cs="Calibri"/>
        <w:noProof/>
        <w:color w:val="777777"/>
        <w:sz w:val="16"/>
        <w:szCs w:val="16"/>
      </w:rPr>
      <w:t>1</w:t>
    </w:r>
    <w:r>
      <w:rPr>
        <w:rFonts w:ascii="Calibri" w:eastAsia="Calibri" w:hAnsi="Calibri" w:cs="Calibri"/>
        <w:color w:val="777777"/>
        <w:sz w:val="16"/>
        <w:szCs w:val="16"/>
      </w:rPr>
      <w:fldChar w:fldCharType="end"/>
    </w:r>
    <w:r>
      <w:rPr>
        <w:rFonts w:ascii="Calibri" w:eastAsia="Calibri" w:hAnsi="Calibri" w:cs="Calibri"/>
        <w:color w:val="777777"/>
        <w:sz w:val="16"/>
        <w:szCs w:val="16"/>
      </w:rPr>
      <w:t xml:space="preserve"> of </w:t>
    </w:r>
    <w:r>
      <w:rPr>
        <w:rFonts w:ascii="Calibri" w:eastAsia="Calibri" w:hAnsi="Calibri" w:cs="Calibri"/>
        <w:color w:val="777777"/>
        <w:sz w:val="16"/>
        <w:szCs w:val="16"/>
      </w:rPr>
      <w:fldChar w:fldCharType="begin"/>
    </w:r>
    <w:r>
      <w:rPr>
        <w:rFonts w:ascii="Calibri" w:eastAsia="Calibri" w:hAnsi="Calibri" w:cs="Calibri"/>
        <w:color w:val="777777"/>
        <w:sz w:val="16"/>
        <w:szCs w:val="16"/>
      </w:rPr>
      <w:instrText>NUMPAGES</w:instrText>
    </w:r>
    <w:r>
      <w:rPr>
        <w:rFonts w:ascii="Calibri" w:eastAsia="Calibri" w:hAnsi="Calibri" w:cs="Calibri"/>
        <w:color w:val="777777"/>
        <w:sz w:val="16"/>
        <w:szCs w:val="16"/>
      </w:rPr>
      <w:fldChar w:fldCharType="separate"/>
    </w:r>
    <w:r w:rsidR="003B14C3">
      <w:rPr>
        <w:rFonts w:ascii="Calibri" w:eastAsia="Calibri" w:hAnsi="Calibri" w:cs="Calibri"/>
        <w:noProof/>
        <w:color w:val="777777"/>
        <w:sz w:val="16"/>
        <w:szCs w:val="16"/>
      </w:rPr>
      <w:t>2</w:t>
    </w:r>
    <w:r>
      <w:rPr>
        <w:rFonts w:ascii="Calibri" w:eastAsia="Calibri" w:hAnsi="Calibri" w:cs="Calibri"/>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33C7A9" w14:textId="77777777" w:rsidR="00003C7B" w:rsidRDefault="00003C7B">
      <w:r>
        <w:separator/>
      </w:r>
    </w:p>
  </w:footnote>
  <w:footnote w:type="continuationSeparator" w:id="0">
    <w:p w14:paraId="6F874143" w14:textId="77777777" w:rsidR="00003C7B" w:rsidRDefault="00003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40FED9" w14:textId="0EBFBCE8" w:rsidR="00255742" w:rsidRDefault="00000000">
    <w:pPr>
      <w:pBdr>
        <w:bottom w:val="single" w:sz="4" w:space="2" w:color="CCCCCC"/>
      </w:pBdr>
      <w:jc w:val="right"/>
    </w:pPr>
    <w:r>
      <w:rPr>
        <w:rFonts w:ascii="Calibri" w:eastAsia="Calibri" w:hAnsi="Calibri" w:cs="Calibri"/>
        <w:i/>
        <w:iCs/>
        <w:color w:val="777777"/>
        <w:sz w:val="16"/>
        <w:szCs w:val="16"/>
      </w:rPr>
      <w:t xml:space="preserve">Reducing Antisemitism Through Education — </w:t>
    </w:r>
    <w:r w:rsidR="003B14C3">
      <w:rPr>
        <w:rFonts w:ascii="Calibri" w:eastAsia="Calibri" w:hAnsi="Calibri" w:cs="Calibri"/>
        <w:i/>
        <w:iCs/>
        <w:color w:val="777777"/>
        <w:sz w:val="16"/>
        <w:szCs w:val="16"/>
      </w:rPr>
      <w:t>some pathways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103DB5"/>
    <w:multiLevelType w:val="hybridMultilevel"/>
    <w:tmpl w:val="F8B4D5FE"/>
    <w:lvl w:ilvl="0" w:tplc="2DD47EFA">
      <w:start w:val="1"/>
      <w:numFmt w:val="bullet"/>
      <w:lvlText w:val="●"/>
      <w:lvlJc w:val="left"/>
      <w:pPr>
        <w:ind w:left="720" w:hanging="360"/>
      </w:pPr>
    </w:lvl>
    <w:lvl w:ilvl="1" w:tplc="9AC85312">
      <w:start w:val="1"/>
      <w:numFmt w:val="bullet"/>
      <w:lvlText w:val="○"/>
      <w:lvlJc w:val="left"/>
      <w:pPr>
        <w:ind w:left="1440" w:hanging="360"/>
      </w:pPr>
    </w:lvl>
    <w:lvl w:ilvl="2" w:tplc="4F26FCA8">
      <w:start w:val="1"/>
      <w:numFmt w:val="bullet"/>
      <w:lvlText w:val="■"/>
      <w:lvlJc w:val="left"/>
      <w:pPr>
        <w:ind w:left="2160" w:hanging="360"/>
      </w:pPr>
    </w:lvl>
    <w:lvl w:ilvl="3" w:tplc="82A694C2">
      <w:start w:val="1"/>
      <w:numFmt w:val="bullet"/>
      <w:lvlText w:val="●"/>
      <w:lvlJc w:val="left"/>
      <w:pPr>
        <w:ind w:left="2880" w:hanging="360"/>
      </w:pPr>
    </w:lvl>
    <w:lvl w:ilvl="4" w:tplc="42CAA822">
      <w:start w:val="1"/>
      <w:numFmt w:val="bullet"/>
      <w:lvlText w:val="○"/>
      <w:lvlJc w:val="left"/>
      <w:pPr>
        <w:ind w:left="3600" w:hanging="360"/>
      </w:pPr>
    </w:lvl>
    <w:lvl w:ilvl="5" w:tplc="C32621DE">
      <w:start w:val="1"/>
      <w:numFmt w:val="bullet"/>
      <w:lvlText w:val="■"/>
      <w:lvlJc w:val="left"/>
      <w:pPr>
        <w:ind w:left="4320" w:hanging="360"/>
      </w:pPr>
    </w:lvl>
    <w:lvl w:ilvl="6" w:tplc="C39A7EEE">
      <w:start w:val="1"/>
      <w:numFmt w:val="bullet"/>
      <w:lvlText w:val="●"/>
      <w:lvlJc w:val="left"/>
      <w:pPr>
        <w:ind w:left="5040" w:hanging="360"/>
      </w:pPr>
    </w:lvl>
    <w:lvl w:ilvl="7" w:tplc="EE78F14C">
      <w:start w:val="1"/>
      <w:numFmt w:val="bullet"/>
      <w:lvlText w:val="●"/>
      <w:lvlJc w:val="left"/>
      <w:pPr>
        <w:ind w:left="5760" w:hanging="360"/>
      </w:pPr>
    </w:lvl>
    <w:lvl w:ilvl="8" w:tplc="AE962FD4">
      <w:start w:val="1"/>
      <w:numFmt w:val="bullet"/>
      <w:lvlText w:val="●"/>
      <w:lvlJc w:val="left"/>
      <w:pPr>
        <w:ind w:left="6480" w:hanging="360"/>
      </w:pPr>
    </w:lvl>
  </w:abstractNum>
  <w:abstractNum w:abstractNumId="1" w15:restartNumberingAfterBreak="0">
    <w:nsid w:val="7ED917BD"/>
    <w:multiLevelType w:val="hybridMultilevel"/>
    <w:tmpl w:val="B754B1A6"/>
    <w:lvl w:ilvl="0" w:tplc="98FA2428">
      <w:start w:val="1"/>
      <w:numFmt w:val="bullet"/>
      <w:lvlText w:val="•"/>
      <w:lvlJc w:val="left"/>
      <w:pPr>
        <w:ind w:left="420" w:hanging="260"/>
      </w:pPr>
    </w:lvl>
    <w:lvl w:ilvl="1" w:tplc="85442492">
      <w:numFmt w:val="decimal"/>
      <w:lvlText w:val=""/>
      <w:lvlJc w:val="left"/>
    </w:lvl>
    <w:lvl w:ilvl="2" w:tplc="3BBE6F40">
      <w:numFmt w:val="decimal"/>
      <w:lvlText w:val=""/>
      <w:lvlJc w:val="left"/>
    </w:lvl>
    <w:lvl w:ilvl="3" w:tplc="83E80572">
      <w:numFmt w:val="decimal"/>
      <w:lvlText w:val=""/>
      <w:lvlJc w:val="left"/>
    </w:lvl>
    <w:lvl w:ilvl="4" w:tplc="4DE492C0">
      <w:numFmt w:val="decimal"/>
      <w:lvlText w:val=""/>
      <w:lvlJc w:val="left"/>
    </w:lvl>
    <w:lvl w:ilvl="5" w:tplc="42C8526C">
      <w:numFmt w:val="decimal"/>
      <w:lvlText w:val=""/>
      <w:lvlJc w:val="left"/>
    </w:lvl>
    <w:lvl w:ilvl="6" w:tplc="69E02AD8">
      <w:numFmt w:val="decimal"/>
      <w:lvlText w:val=""/>
      <w:lvlJc w:val="left"/>
    </w:lvl>
    <w:lvl w:ilvl="7" w:tplc="E60E5B4C">
      <w:numFmt w:val="decimal"/>
      <w:lvlText w:val=""/>
      <w:lvlJc w:val="left"/>
    </w:lvl>
    <w:lvl w:ilvl="8" w:tplc="CD642028">
      <w:numFmt w:val="decimal"/>
      <w:lvlText w:val=""/>
      <w:lvlJc w:val="left"/>
    </w:lvl>
  </w:abstractNum>
  <w:num w:numId="1" w16cid:durableId="2111927370">
    <w:abstractNumId w:val="0"/>
    <w:lvlOverride w:ilvl="0">
      <w:startOverride w:val="1"/>
    </w:lvlOverride>
  </w:num>
  <w:num w:numId="2" w16cid:durableId="76654056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742"/>
    <w:rsid w:val="00003C7B"/>
    <w:rsid w:val="000076FC"/>
    <w:rsid w:val="00255742"/>
    <w:rsid w:val="003B14C3"/>
    <w:rsid w:val="006A6658"/>
    <w:rsid w:val="006C43BE"/>
    <w:rsid w:val="00E51AD0"/>
    <w:rsid w:val="00F758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0203B35"/>
  <w15:docId w15:val="{7E18435C-21F2-9641-A771-4219E11B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B14C3"/>
    <w:pPr>
      <w:tabs>
        <w:tab w:val="center" w:pos="4513"/>
        <w:tab w:val="right" w:pos="9026"/>
      </w:tabs>
    </w:pPr>
  </w:style>
  <w:style w:type="character" w:customStyle="1" w:styleId="HeaderChar">
    <w:name w:val="Header Char"/>
    <w:basedOn w:val="DefaultParagraphFont"/>
    <w:link w:val="Header"/>
    <w:uiPriority w:val="99"/>
    <w:rsid w:val="003B14C3"/>
  </w:style>
  <w:style w:type="paragraph" w:styleId="Footer">
    <w:name w:val="footer"/>
    <w:basedOn w:val="Normal"/>
    <w:link w:val="FooterChar"/>
    <w:uiPriority w:val="99"/>
    <w:unhideWhenUsed/>
    <w:rsid w:val="003B14C3"/>
    <w:pPr>
      <w:tabs>
        <w:tab w:val="center" w:pos="4513"/>
        <w:tab w:val="right" w:pos="9026"/>
      </w:tabs>
    </w:pPr>
  </w:style>
  <w:style w:type="character" w:customStyle="1" w:styleId="FooterChar">
    <w:name w:val="Footer Char"/>
    <w:basedOn w:val="DefaultParagraphFont"/>
    <w:link w:val="Footer"/>
    <w:uiPriority w:val="99"/>
    <w:rsid w:val="003B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4413</Words>
  <Characters>25156</Characters>
  <Application>Microsoft Office Word</Application>
  <DocSecurity>0</DocSecurity>
  <Lines>209</Lines>
  <Paragraphs>59</Paragraphs>
  <ScaleCrop>false</ScaleCrop>
  <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Jakubowicz</cp:lastModifiedBy>
  <cp:revision>2</cp:revision>
  <dcterms:created xsi:type="dcterms:W3CDTF">2026-07-07T03:30:00Z</dcterms:created>
  <dcterms:modified xsi:type="dcterms:W3CDTF">2026-07-07T03:30:00Z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2026-07-04T02:52:03Z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231d7e30-175b-44e8-8ebc-71318240979f</vt:lpwstr>
  </property>
  <property fmtid="{D5CDD505-2E9C-101B-9397-08002B2CF9AE}" pid="8" name="MSIP_Label_51a6c3db-1667-4f49-995a-8b9973972958_ContentBits">
    <vt:lpwstr>0</vt:lpwstr>
  </property>
  <property fmtid="{D5CDD505-2E9C-101B-9397-08002B2CF9AE}" pid="9" name="MSIP_Label_51a6c3db-1667-4f49-995a-8b9973972958_Tag">
    <vt:lpwstr>50, 3, 0, 1</vt:lpwstr>
  </property>
</Properties>
</file>