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The Social Topography of Racisms in Australia</w:t>
      </w:r>
    </w:p>
    <w:p>
      <w:pPr>
        <w:jc w:val="center"/>
      </w:pPr>
      <w:r>
        <w:t>A Research Framework Using Social Distance, Salience, Intensity, Valency, and Anxiety-Reduction Strategies</w:t>
      </w:r>
    </w:p>
    <w:p>
      <w:pPr>
        <w:pStyle w:val="Heading2"/>
      </w:pPr>
      <w:r>
        <w:t>Executive Summary</w:t>
      </w:r>
    </w:p>
    <w:p>
      <w:r>
        <w:t>Racism in Australia is not monolithic but stratified across target groups (Jewish, Muslim, Aboriginal, Indian, Chinese) in ways that can be empirically measured and differentially addressed. This paper integrates social distance theory, salience measurement, prejudice intensity, affective valency mapping, and anxiety amplification mechanisms to create a "social topography" of Australian racisms. Drawing on Australian Human Rights Commission research, the Royal Commission on Antisemitism and Social Cohesion (2026), Crossroads25 survey data, and the Randwick Council Social Cohesion and Multicultural Plan (2026), it proposes evidence-based interventions at federal, state, and local levels. The paper concludes with an integrated policy pathway for federal coordination, state implementation, and local community embedding.</w:t>
      </w:r>
    </w:p>
    <w:p>
      <w:pPr>
        <w:pStyle w:val="Heading2"/>
      </w:pPr>
      <w:r>
        <w:t>1. Introduction &amp; Theoretical Framework</w:t>
      </w:r>
    </w:p>
    <w:p>
      <w:pPr>
        <w:pStyle w:val="Heading3"/>
      </w:pPr>
      <w:r>
        <w:t>1.1 Problem Statement</w:t>
      </w:r>
    </w:p>
    <w:p>
      <w:r>
        <w:t>The Australian Human Rights Commission's landmark Racism@Uni Study (2026) surveyed 76,000 respondents across 42 universities, revealing that First Nations, Jewish, Muslim, and Asian students and staff experience distinct patterns of racist treatment. Similarly, Crossroads25 (2025)—a survey of 2,270 Australians on attitudes to Jews, Israel and antisemitism—shows antisemitic attitudes cluster in specific demographic and political cohorts, requiring targeted responses. This paper maps Australia's "racial terrain" using social distance, salience (cognitive and affective availability), intensity of prejudice, valency (affective polarity), and anxiety-amplification pathways.</w:t>
      </w:r>
    </w:p>
    <w:p>
      <w:pPr>
        <w:pStyle w:val="Heading3"/>
      </w:pPr>
      <w:r>
        <w:t>1.2 Core Theoretical Concepts</w:t>
      </w:r>
    </w:p>
    <w:p>
      <w:pPr>
        <w:pStyle w:val="ListBullet"/>
      </w:pPr>
      <w:r>
        <w:rPr>
          <w:b/>
        </w:rPr>
        <w:t xml:space="preserve">Social Distance (Bogardus Scale): </w:t>
      </w:r>
      <w:r>
        <w:t>Willingness to associate at varying intimacy levels: workplace, neighbourhood, friendship, marriage.</w:t>
      </w:r>
    </w:p>
    <w:p>
      <w:pPr>
        <w:pStyle w:val="ListBullet"/>
      </w:pPr>
      <w:r>
        <w:rPr>
          <w:b/>
        </w:rPr>
        <w:t xml:space="preserve">Salience: </w:t>
      </w:r>
      <w:r>
        <w:t>How "top of mind" racism is; measured by unprompted mention, stereotype activation speed, emotional reaction latency.</w:t>
      </w:r>
    </w:p>
    <w:p>
      <w:pPr>
        <w:pStyle w:val="ListBullet"/>
      </w:pPr>
      <w:r>
        <w:rPr>
          <w:b/>
        </w:rPr>
        <w:t xml:space="preserve">Intensity: </w:t>
      </w:r>
      <w:r>
        <w:t>Strength of prejudicial affect and likelihood of discriminatory behaviour.</w:t>
      </w:r>
    </w:p>
    <w:p>
      <w:pPr>
        <w:pStyle w:val="ListBullet"/>
      </w:pPr>
      <w:r>
        <w:rPr>
          <w:b/>
        </w:rPr>
        <w:t xml:space="preserve">Valency: </w:t>
      </w:r>
      <w:r>
        <w:t>Affective-evaluative polarity: positive (model minority), neutral (indifference), or negative (hostility).</w:t>
      </w:r>
    </w:p>
    <w:p>
      <w:pPr>
        <w:pStyle w:val="ListBullet"/>
      </w:pPr>
      <w:r>
        <w:rPr>
          <w:b/>
        </w:rPr>
        <w:t xml:space="preserve">Anxiety as Amplifier: </w:t>
      </w:r>
      <w:r>
        <w:t>Economic, contact, cultural threat, and existential anxiety increase racist expression.</w:t>
      </w:r>
    </w:p>
    <w:p>
      <w:pPr>
        <w:pStyle w:val="Heading3"/>
      </w:pPr>
      <w:r>
        <w:t>1.3 Australian Research Base</w:t>
      </w:r>
    </w:p>
    <w:p>
      <w:pPr>
        <w:pStyle w:val="ListBullet"/>
      </w:pPr>
      <w:r>
        <w:rPr>
          <w:b/>
        </w:rPr>
        <w:t xml:space="preserve">AHRC Racism@Uni Study (2026): </w:t>
      </w:r>
      <w:r>
        <w:t>76,000 students and staff across 42 universities. 70% experienced indirect racism; 37% direct racism. Only 11 universities have advanced anti-racism strategies.</w:t>
      </w:r>
    </w:p>
    <w:p>
      <w:pPr>
        <w:pStyle w:val="ListBullet"/>
      </w:pPr>
      <w:r>
        <w:rPr>
          <w:b/>
        </w:rPr>
        <w:t xml:space="preserve">Royal Commission on Antisemitism and Social Cohesion (2026): </w:t>
      </w:r>
      <w:r>
        <w:t>Established January 2026 after 14 December 2025 Bondi attack (15 killed). Commissioner Virginia Bell AC SC. Interim Report (April 2026): 14 recommendations on counter-terrorism. Final Report due December 2026.</w:t>
      </w:r>
    </w:p>
    <w:p>
      <w:pPr>
        <w:pStyle w:val="ListBullet"/>
      </w:pPr>
      <w:r>
        <w:rPr>
          <w:b/>
        </w:rPr>
        <w:t xml:space="preserve">Crossroads25 Survey (2025): </w:t>
      </w:r>
      <w:r>
        <w:t>n=2,270, designed by Emeritus Professor Andrew Markus. Key findings: 40% of 18-34 year-olds sympathetic to Palestinians vs. 10% to Israel; 12% hold traditional antisemitic canards; political clustering evident.</w:t>
      </w:r>
    </w:p>
    <w:p>
      <w:pPr>
        <w:pStyle w:val="ListBullet"/>
      </w:pPr>
      <w:r>
        <w:rPr>
          <w:b/>
        </w:rPr>
        <w:t xml:space="preserve">ECAJ Annual Report (2025): </w:t>
      </w:r>
      <w:r>
        <w:t>1,654 anti-Jewish incidents October 2024–September 2025 (down from 2,062 but triple pre-Oct 7 baseline). 33 arson/vandalism cases (18 major). Iranian state actors confirmed in major attacks.</w:t>
      </w:r>
    </w:p>
    <w:p>
      <w:pPr>
        <w:pStyle w:val="ListBullet"/>
      </w:pPr>
      <w:r>
        <w:rPr>
          <w:b/>
        </w:rPr>
        <w:t xml:space="preserve">Randwick Council Social Cohesion and Multicultural Plan (2026–2031): </w:t>
      </w:r>
      <w:r>
        <w:t>First integrated municipal plan in Australia. 600+ residents consulted; 40% born overseas; 28% speak language other than English. Includes anti-racism education, multilingual access, community partnership, lived experience input.</w:t>
      </w:r>
    </w:p>
    <w:p>
      <w:pPr>
        <w:pStyle w:val="Heading2"/>
      </w:pPr>
      <w:r>
        <w:t>2. Social Distance Hierarchy</w:t>
      </w:r>
    </w:p>
    <w:p>
      <w:r>
        <w:t>AHRC data suggests Aboriginal and First Nations students experience highest social distance in non-contact populations. Muslim students report high distance and anxiety-driven avoidance. Jewish students post-October 2023 report rising distance especially in activist spaces. Chinese/Indian experience moderate distance with recent volatility (post-COVID economic anxiety for Chinese; tech competition for Indians).</w:t>
      </w:r>
    </w:p>
    <w:p>
      <w:pPr>
        <w:pStyle w:val="Heading2"/>
      </w:pPr>
      <w:r>
        <w:t>3. Salience: Cognitive &amp; Affective Availability</w:t>
      </w:r>
    </w:p>
    <w:p>
      <w:pPr>
        <w:pStyle w:val="ListBullet"/>
      </w:pPr>
      <w:r>
        <w:rPr>
          <w:b/>
        </w:rPr>
        <w:t xml:space="preserve">Muslims: </w:t>
      </w:r>
      <w:r>
        <w:t>Post-9/11 persistent high salience; recurring moral panics (Lindt Café, Bourke St). Salience maintained through political discourse, media representation, religious visibility.</w:t>
      </w:r>
    </w:p>
    <w:p>
      <w:pPr>
        <w:pStyle w:val="ListBullet"/>
      </w:pPr>
      <w:r>
        <w:rPr>
          <w:b/>
        </w:rPr>
        <w:t xml:space="preserve">Chinese: </w:t>
      </w:r>
      <w:r>
        <w:t>Pre-COVID: lower negative salience (model minority). Post-COVID: virus-origin attribution, economic competition rhetoric. Younger cohorts higher personal experience of anti-Asian racism.</w:t>
      </w:r>
    </w:p>
    <w:p>
      <w:pPr>
        <w:pStyle w:val="ListBullet"/>
      </w:pPr>
      <w:r>
        <w:rPr>
          <w:b/>
        </w:rPr>
        <w:t xml:space="preserve">Indians: </w:t>
      </w:r>
      <w:r>
        <w:t>Rising post-2010s: labour market competition, wage depression narratives. Professional standing paradoxical: IT prestige vs. credential skepticism.</w:t>
      </w:r>
    </w:p>
    <w:p>
      <w:pPr>
        <w:pStyle w:val="ListBullet"/>
      </w:pPr>
      <w:r>
        <w:rPr>
          <w:b/>
        </w:rPr>
        <w:t xml:space="preserve">Aboriginal: </w:t>
      </w:r>
      <w:r>
        <w:t>Paradoxical: ubiquitous in policy discourse; invisible for 90% of urban Australians. AHRC: First Nations students cite "special treatment" dismissal.</w:t>
      </w:r>
    </w:p>
    <w:p>
      <w:pPr>
        <w:pStyle w:val="ListBullet"/>
      </w:pPr>
      <w:r>
        <w:rPr>
          <w:b/>
        </w:rPr>
        <w:t xml:space="preserve">Jews: </w:t>
      </w:r>
      <w:r>
        <w:t>Historically lower salience post-WWII; sharp spike 2018–2026 (Israel-Palestine politicization, BDS, campus incidents). Clustering in academic/progressive spaces.</w:t>
      </w:r>
    </w:p>
    <w:p>
      <w:pPr>
        <w:pStyle w:val="Heading2"/>
      </w:pPr>
      <w:r>
        <w:t>4. Intensity &amp; Affective Dimensions</w:t>
      </w:r>
    </w:p>
    <w:p>
      <w:r>
        <w:t>Contempt dominates Aboriginal racism (stereotypes of laziness, criminality). Fear post-9/11 Muslim racism; post-COVID economic fear for Chinese. Disgust triggered differently per group (religious practice, cultural norms). Resentment (economic: Indian/Chinese; redistributive: Aboriginal welfare narratives).</w:t>
      </w:r>
    </w:p>
    <w:p>
      <w:pPr>
        <w:pStyle w:val="Heading2"/>
      </w:pPr>
      <w:r>
        <w:t>5. Valency Spectrum</w:t>
      </w:r>
    </w:p>
    <w:p>
      <w:pPr>
        <w:pStyle w:val="ListBullet"/>
      </w:pPr>
      <w:r>
        <w:rPr>
          <w:b/>
        </w:rPr>
        <w:t xml:space="preserve">Chinese: </w:t>
      </w:r>
      <w:r>
        <w:t>Positive: hard-working, academic. Negative (recent): economic threat, geopolitical competition.</w:t>
      </w:r>
    </w:p>
    <w:p>
      <w:pPr>
        <w:pStyle w:val="ListBullet"/>
      </w:pPr>
      <w:r>
        <w:rPr>
          <w:b/>
        </w:rPr>
        <w:t xml:space="preserve">Indians: </w:t>
      </w:r>
      <w:r>
        <w:t>Positive: professional competence (doctors, engineers). Negative: labour competition, credential skepticism.</w:t>
      </w:r>
    </w:p>
    <w:p>
      <w:pPr>
        <w:pStyle w:val="ListBullet"/>
      </w:pPr>
      <w:r>
        <w:rPr>
          <w:b/>
        </w:rPr>
        <w:t xml:space="preserve">Jews: </w:t>
      </w:r>
      <w:r>
        <w:t>Positive: Holocaust sympathy, intellectual achievement. Negative: conspiracy, fear, post-Oct 7 hostility.</w:t>
      </w:r>
    </w:p>
    <w:p>
      <w:pPr>
        <w:pStyle w:val="ListBullet"/>
      </w:pPr>
      <w:r>
        <w:rPr>
          <w:b/>
        </w:rPr>
        <w:t xml:space="preserve">Muslims: </w:t>
      </w:r>
      <w:r>
        <w:t>Positive: minimal. Negative: fear (terrorism), contempt (religious superiority), post-9/11 locked negative.</w:t>
      </w:r>
    </w:p>
    <w:p>
      <w:pPr>
        <w:pStyle w:val="ListBullet"/>
      </w:pPr>
      <w:r>
        <w:rPr>
          <w:b/>
        </w:rPr>
        <w:t xml:space="preserve">Aboriginal: </w:t>
      </w:r>
      <w:r>
        <w:t>Positive: niche (spiritual). Negative: contempt (criminality, dependency), paternalism, defensive denialism.</w:t>
      </w:r>
    </w:p>
    <w:p>
      <w:pPr>
        <w:pStyle w:val="Heading2"/>
      </w:pPr>
      <w:r>
        <w:t>6. Anxiety as Racism Amplifier</w:t>
      </w:r>
    </w:p>
    <w:p>
      <w:pPr>
        <w:pStyle w:val="ListBullet"/>
      </w:pPr>
      <w:r>
        <w:rPr>
          <w:b/>
        </w:rPr>
        <w:t xml:space="preserve">Intergroup Contact Anxiety: </w:t>
      </w:r>
      <w:r>
        <w:t>Discomfort in cross-cultural interaction. Highest in low-contact populations; partially reversible through structured contact.</w:t>
      </w:r>
    </w:p>
    <w:p>
      <w:pPr>
        <w:pStyle w:val="ListBullet"/>
      </w:pPr>
      <w:r>
        <w:rPr>
          <w:b/>
        </w:rPr>
        <w:t xml:space="preserve">Economic Anxiety: </w:t>
      </w:r>
      <w:r>
        <w:t>Wage competition frame (Indians in tech, Chinese in property). Working-class &gt; professionals. Geographic: outer suburbs, manufacturing-decline regions.</w:t>
      </w:r>
    </w:p>
    <w:p>
      <w:pPr>
        <w:pStyle w:val="ListBullet"/>
      </w:pPr>
      <w:r>
        <w:rPr>
          <w:b/>
        </w:rPr>
        <w:t xml:space="preserve">Cultural/Identity Threat Anxiety: </w:t>
      </w:r>
      <w:r>
        <w:t>"Demographic change" (Muslims % rising), religious anxiety, values threat. Younger, less-educated cohorts highest.</w:t>
      </w:r>
    </w:p>
    <w:p>
      <w:pPr>
        <w:pStyle w:val="ListBullet"/>
      </w:pPr>
      <w:r>
        <w:rPr>
          <w:b/>
        </w:rPr>
        <w:t xml:space="preserve">Existential Threat (Aboriginal-specific): </w:t>
      </w:r>
      <w:r>
        <w:t>Guilt/defensiveness re: historical injustice; converts to hostile denial and stereotype reinforcement.</w:t>
      </w:r>
    </w:p>
    <w:p>
      <w:pPr>
        <w:pStyle w:val="Heading2"/>
      </w:pPr>
      <w:r>
        <w:t>7. Group-Specific Racism Configurations</w:t>
      </w:r>
    </w:p>
    <w:p>
      <w:pPr>
        <w:pStyle w:val="Heading3"/>
      </w:pPr>
      <w:r>
        <w:t>Muslims</w:t>
      </w:r>
    </w:p>
    <w:p>
      <w:r>
        <w:t>Topology: Persistent fear-based racism, politically mobilizable</w:t>
      </w:r>
    </w:p>
    <w:p>
      <w:r>
        <w:t>Distance: High | Salience: High/persistent | Intensity: High (fear) | Valency: Negative | Anxiety: Terrorism framing, cultural threat</w:t>
      </w:r>
    </w:p>
    <w:p>
      <w:pPr>
        <w:pStyle w:val="Heading3"/>
      </w:pPr>
      <w:r>
        <w:t>Chinese</w:t>
      </w:r>
    </w:p>
    <w:p>
      <w:r>
        <w:t>Topology: Volatile, economically-motivated; geopolitically amplified</w:t>
      </w:r>
    </w:p>
    <w:p>
      <w:r>
        <w:t>Distance: Moderate→high | Salience: High (volatile) | Intensity: Moderate–high | Valency: Mixed→negative | Anxiety: Economic, geopolitical, COVID</w:t>
      </w:r>
    </w:p>
    <w:p>
      <w:pPr>
        <w:pStyle w:val="Heading3"/>
      </w:pPr>
      <w:r>
        <w:t>Indians</w:t>
      </w:r>
    </w:p>
    <w:p>
      <w:r>
        <w:t>Topology: Emerging class-based racism; credential-challenged</w:t>
      </w:r>
    </w:p>
    <w:p>
      <w:r>
        <w:t>Distance: Moderate | Salience: Moderate↑ | Intensity: Moderate | Valency: Mixed | Anxiety: Labour market, credential skepticism</w:t>
      </w:r>
    </w:p>
    <w:p>
      <w:pPr>
        <w:pStyle w:val="Heading3"/>
      </w:pPr>
      <w:r>
        <w:t>Jews</w:t>
      </w:r>
    </w:p>
    <w:p>
      <w:r>
        <w:t>Topology: Politically-indexed racism; identity-based solidarity shifts</w:t>
      </w:r>
    </w:p>
    <w:p>
      <w:r>
        <w:t>Distance: Low→rising | Salience: Low–mod (event-driven, clustered) | Intensity: High (activated) | Valency: Mixed | Anxiety: Political (Israel), academic</w:t>
      </w:r>
    </w:p>
    <w:p>
      <w:pPr>
        <w:pStyle w:val="Heading3"/>
      </w:pPr>
      <w:r>
        <w:t>Aboriginal</w:t>
      </w:r>
    </w:p>
    <w:p>
      <w:r>
        <w:t>Topology: Structurally embedded, contact-inverse; denial-amplified</w:t>
      </w:r>
    </w:p>
    <w:p>
      <w:r>
        <w:t>Distance: Highest (non-contact) | Salience: Low (general); high (in-community) | Intensity: High | Valency: Negative | Anxiety: Existential, contact, justice</w:t>
      </w:r>
    </w:p>
    <w:p>
      <w:pPr>
        <w:pStyle w:val="Heading2"/>
      </w:pPr>
      <w:r>
        <w:t>8. Empirically Demonstrable Amelioration Strategies</w:t>
      </w:r>
    </w:p>
    <w:p>
      <w:pPr>
        <w:pStyle w:val="Heading3"/>
      </w:pPr>
      <w:r>
        <w:t>8.1 Structured Intergroup Contact</w:t>
      </w:r>
    </w:p>
    <w:p>
      <w:r>
        <w:t>Evidence: Allport (1954); Pettigrew &amp; Tropp (2006). Conditions: equal status, cooperative goals, authority support, friendship potential. Highest impact on low-contact groups. Mechanism: stereotype individuation; anxiety reduction. Limitation: requires critical mass; effects decay post-contact.</w:t>
      </w:r>
    </w:p>
    <w:p>
      <w:pPr>
        <w:pStyle w:val="Heading3"/>
      </w:pPr>
      <w:r>
        <w:t>8.2 Counter-Narrative &amp; Media</w:t>
      </w:r>
    </w:p>
    <w:p>
      <w:r>
        <w:t>Stereotype-disconfirming media (ABC/SBS, university programs, corporate visibility) reduces prejudice. Target high-salience groups (Muslims, Chinese). Cognitive reframing: economic competition as non-zero-sum; skills complementarity framing.</w:t>
      </w:r>
    </w:p>
    <w:p>
      <w:pPr>
        <w:pStyle w:val="Heading3"/>
      </w:pPr>
      <w:r>
        <w:t>8.3 Institutional Interventions</w:t>
      </w:r>
    </w:p>
    <w:p>
      <w:r>
        <w:t>Representation &amp; Visibility: Aboriginal in professional sectors; Muslim in security/authority; Indian/Chinese leadership visibility. Statutory Multicultural Act: legal framework for anti-discrimination, multicultural councils (federal, state, local), enforceable community impact assessments, annual Parliament reporting. National Counter-Extremism Centre: deradicalization programs, counter-narrative development, community liaison. National Lived Experience Council on Social Cohesion: Jewish, Muslim, Aboriginal, Indian, Chinese representation; federal secretariat; state/local working groups; annual accountability.</w:t>
      </w:r>
    </w:p>
    <w:p>
      <w:pPr>
        <w:pStyle w:val="Heading3"/>
      </w:pPr>
      <w:r>
        <w:t>8.4 Educational Interventions</w:t>
      </w:r>
    </w:p>
    <w:p>
      <w:r>
        <w:t>Intergroup Dialogue Curricula: credit-bearing courses, co-taught by majority/minority faculty, mandatory first-year programs. Debiasing &amp; Critical Consciousness: teach stereotype functioning, media literacy, anxiety recognition. Royal Commission (Gonski Taskforce) emphasizes nuanced education beyond Holocaust to include "diverse and paradoxical factors" shaping antisemitism (political, geopolitical, contemporary).</w:t>
      </w:r>
    </w:p>
    <w:p>
      <w:pPr>
        <w:pStyle w:val="Heading3"/>
      </w:pPr>
      <w:r>
        <w:t>8.5 Anxiety-Specific Interventions</w:t>
      </w:r>
    </w:p>
    <w:p>
      <w:r>
        <w:t>Anxiety Reduction Programming: cognitive-behavioral approaches targeting economic and existential anxiety. Solidarity-Building Across Marginalized Groups: Jewish-Muslim dialogue, Aboriginal-immigrant alliance, working-class solidarity framing. Randwick precedent: multilingual communication, public space activation, community festival support, community grants ($80K+ March 2026).</w:t>
      </w:r>
    </w:p>
    <w:p>
      <w:r>
        <w:br w:type="page"/>
      </w:r>
    </w:p>
    <w:p>
      <w:pPr>
        <w:pStyle w:val="Heading2"/>
      </w:pPr>
      <w:r>
        <w:t>9. Policy Implementation Pathway: Federal, State, and Local Coordination</w:t>
      </w:r>
    </w:p>
    <w:p>
      <w:pPr>
        <w:pStyle w:val="Heading3"/>
      </w:pPr>
      <w:r>
        <w:t>9.1 Federal Level: Statutory Framework &amp; National Coordination</w:t>
      </w:r>
    </w:p>
    <w:p>
      <w:pPr>
        <w:pStyle w:val="ListBullet"/>
      </w:pPr>
      <w:r>
        <w:rPr>
          <w:b/>
        </w:rPr>
        <w:t>Statutory Multicultural Act (2026–2027)</w:t>
        <w:br/>
      </w:r>
      <w:r>
        <w:t>Anti-discrimination protections; multicultural councils (federal, state, local); community impact assessments; annual Parliament Racism and Social Cohesion Report with incident data, intervention outcomes, demographics. Precedent: Randwick Council February 2026 resolution rejecting violence/terrorism, establishing ethical leadership principles—scale nationally.</w:t>
      </w:r>
    </w:p>
    <w:p>
      <w:pPr>
        <w:pStyle w:val="ListBullet"/>
      </w:pPr>
      <w:r>
        <w:rPr>
          <w:b/>
        </w:rPr>
        <w:t>National Counter-Extremism Centre (2026–2027)</w:t>
        <w:br/>
      </w:r>
      <w:r>
        <w:t>Statutory body coordinating with community organisations, faith leaders, education. Remit: deradicalization; counter-narrative development; educator training; community liaison (Muslim, Jewish). Funding: $50–100M over 5 years shared with state/local.</w:t>
      </w:r>
    </w:p>
    <w:p>
      <w:pPr>
        <w:pStyle w:val="ListBullet"/>
      </w:pPr>
      <w:r>
        <w:rPr>
          <w:b/>
        </w:rPr>
        <w:t>National Lived Experience Council on Social Cohesion (2026–2027)</w:t>
        <w:br/>
      </w:r>
      <w:r>
        <w:t>Statutory advisory body: Jewish, Muslim, Aboriginal, Indian, Chinese; majority participation; federal secretariat; state/local working groups. Remit: policy impact advice, intervention efficacy oversight, accountability. Annual Parliament reporting; audit powers. Modeled on Randwick consultation, scaled nationally.</w:t>
      </w:r>
    </w:p>
    <w:p>
      <w:pPr>
        <w:pStyle w:val="ListBullet"/>
      </w:pPr>
      <w:r>
        <w:rPr>
          <w:b/>
        </w:rPr>
        <w:t>Antisemitism Education Taskforce—Extended Mandate (ongoing)</w:t>
        <w:br/>
      </w:r>
      <w:r>
        <w:t>David Gonski AC leads; expands beyond antisemitism to integrated anti-racism framework. Develops national curriculum standards: racial literacy, media literacy, anxiety recognition. Deliverables (2027–2028): K–12 anti-racism curriculum; university racial literacy standards; vocational/tertiary anti-racism training modules. Evidence: AHRC notes "low racial literacy" as critical bottleneck.</w:t>
      </w:r>
    </w:p>
    <w:p>
      <w:pPr>
        <w:pStyle w:val="ListBullet"/>
      </w:pPr>
      <w:r>
        <w:rPr>
          <w:b/>
        </w:rPr>
        <w:t>National Hate Crimes and Incidents Database—Enhanced (ongoing)</w:t>
        <w:br/>
      </w:r>
      <w:r>
        <w:t>Already established (December 2025 response to Special Envoy). Expand to capture social distance measures, anxiety prevalence, intervention outcomes. Annual reporting by demographic, geography, target group. Enable evidence-based allocation: high-intensity areas receive contact-intervention funding; high-anxiety cohorts receive anxiety-reduction programs.</w:t>
      </w:r>
    </w:p>
    <w:p>
      <w:pPr>
        <w:pStyle w:val="ListBullet"/>
      </w:pPr>
      <w:r>
        <w:rPr>
          <w:b/>
        </w:rPr>
        <w:t>Federal Funding Allocation Framework (ongoing)</w:t>
        <w:br/>
      </w:r>
      <w:r>
        <w:t>$5M annually for contact-based interventions; $3M education; $2M lived experience council operations. Allocation: 20% competitive; 80% formula-based (per-capita + high-incident adjustment). Accountability: annual outcomes reporting (social distance change, salience reduction, incident decline). Precedent: Randwick $80K+ awarded March 2026 to community programs (Kids Giving Back, Abrahams Tent, Jewish Roots Festival, NAIDOC, multicultural wellbeing). Scale to $100M+ federal.</w:t>
      </w:r>
    </w:p>
    <w:p>
      <w:pPr>
        <w:pStyle w:val="Heading3"/>
      </w:pPr>
      <w:r>
        <w:t>9.2 State Level: Implementation &amp; Regional Coordination</w:t>
      </w:r>
    </w:p>
    <w:p>
      <w:pPr>
        <w:pStyle w:val="ListBullet"/>
      </w:pPr>
      <w:r>
        <w:rPr>
          <w:b/>
        </w:rPr>
        <w:t>Multicultural Councils (State)</w:t>
        <w:br/>
      </w:r>
      <w:r>
        <w:t>Established under Statutory Multicultural Act. Mirror federal/local structure; include target group representatives; majority participation; power to coordinate councils; state funding allocation decisions. NSW and Victoria pathfinders (highest incident counts per ECAJ).</w:t>
      </w:r>
    </w:p>
    <w:p>
      <w:pPr>
        <w:pStyle w:val="ListBullet"/>
      </w:pPr>
      <w:r>
        <w:rPr>
          <w:b/>
        </w:rPr>
        <w:t>Education Sector Coordination</w:t>
        <w:br/>
      </w:r>
      <w:r>
        <w:t>State education departments implement national anti-racism curriculum (Gonski standards). Resourcing: teacher PD (2–3 days annually on racial literacy); curriculum materials; external facilitators. Universities: implement AHRC Racism@Uni recommendations (all 42 adopt advanced anti-racism strategies; currently only 11). Accountability: annual discrimination complaint audits; required incident data publication by target group.</w:t>
      </w:r>
    </w:p>
    <w:p>
      <w:pPr>
        <w:pStyle w:val="ListBullet"/>
      </w:pPr>
      <w:r>
        <w:rPr>
          <w:b/>
        </w:rPr>
        <w:t>Counter-Extremism Coordination</w:t>
        <w:br/>
      </w:r>
      <w:r>
        <w:t>State liaison with National Counter-Extremism Centre; CVE delivery through education, corrections, community. NSW Police Operation Jewish High Holy Days (model) extends to other festivals. ECAJ data: 18 major incidents 2025; sustained security presence required at high-risk events.</w:t>
      </w:r>
    </w:p>
    <w:p>
      <w:pPr>
        <w:pStyle w:val="ListBullet"/>
      </w:pPr>
      <w:r>
        <w:rPr>
          <w:b/>
        </w:rPr>
        <w:t>Lived Experience Council (State Working Group)</w:t>
        <w:br/>
      </w:r>
      <w:r>
        <w:t>State secretariat reporting to National Council; quarterly local council meetings. Remit: identify federal/local coordination gaps; pilot programs; feed upward for scaling. Annual state-level incident response review.</w:t>
      </w:r>
    </w:p>
    <w:p>
      <w:pPr>
        <w:pStyle w:val="ListBullet"/>
      </w:pPr>
      <w:r>
        <w:rPr>
          <w:b/>
        </w:rPr>
        <w:t>Incident Response Protocols (State)</w:t>
        <w:br/>
      </w:r>
      <w:r>
        <w:t>24–48 hour response to high-profile incidents (hate crimes, vandalism, extremist activity). Response: community liaison; media counter-narrative; resource signposting (counseling, legal aid); rapid investigation (police/prosecutors trained in racial literacy). Precedent: NSW Police Operation Jewish High Holy Days; extend to multicultural policing.</w:t>
      </w:r>
    </w:p>
    <w:p>
      <w:pPr>
        <w:pStyle w:val="Heading3"/>
      </w:pPr>
      <w:r>
        <w:t>9.3 Local Level: Randwick Model as Template</w:t>
      </w:r>
    </w:p>
    <w:p>
      <w:r>
        <w:t>Randwick Council Social Cohesion and Multicultural Plan (2026–2031) provides practical template. Directly operationalizes evidence-based interventions:</w:t>
      </w:r>
    </w:p>
    <w:p>
      <w:pPr>
        <w:pStyle w:val="ListBullet"/>
      </w:pPr>
      <w:r>
        <w:t>Contact-based: multicultural/faith-based festivals; intergenerational programs (Kids Giving Back "Scones &amp; Stories"); community forums (Anthea Hancocks CEO Scanlon Foundation, Mayor panels, roundtables on belonging/safety)</w:t>
      </w:r>
    </w:p>
    <w:p>
      <w:pPr>
        <w:pStyle w:val="ListBullet"/>
      </w:pPr>
      <w:r>
        <w:t>"Did You Know?" exhibition (Lionel Bowen Library, March–April 2026): cultural identity/lived experience through art/creative storytelling; Chinese Community Social Hub workshops; community-engaged artists</w:t>
      </w:r>
    </w:p>
    <w:p>
      <w:pPr>
        <w:pStyle w:val="ListBullet"/>
      </w:pPr>
      <w:r>
        <w:t>Anti-racism and antisemitism education initiatives; stronger partnerships with community organisations/leaders; leadership and training programs for inclusive decision-making; multilingual communication strategy</w:t>
      </w:r>
    </w:p>
    <w:p>
      <w:pPr>
        <w:pStyle w:val="ListBullet"/>
      </w:pPr>
      <w:r>
        <w:t>Community consultation (600+ residents, organisations, faith leaders including Rabbis); Cultural Diversity and Equity Advisory Committee integral; ongoing feedback loops (community grants supporting locally-identified projects)</w:t>
      </w:r>
    </w:p>
    <w:p>
      <w:pPr>
        <w:pStyle w:val="ListBullet"/>
      </w:pPr>
      <w:r>
        <w:t>Public space activation (parks, libraries, community centres encouraging connection); address racism through education/prevention; accessible facilities (language services, prayer spaces, dietary accommodations)</w:t>
      </w:r>
    </w:p>
    <w:p>
      <w:pPr>
        <w:pStyle w:val="ListBullet"/>
      </w:pPr>
      <w:r>
        <w:t>Accountability: explicit Section 8A Local Government Act 1993 (NSW) commitment to fair, ethical, non-biased decision-making; February 2026 resolution unequivocally condemning violence/terrorism, endorsing antisemitism as distinct hatred; annual reporting on incidents, interventions, community sentiment change (Crossroads25-style local surveys)</w:t>
      </w:r>
    </w:p>
    <w:p>
      <w:pPr>
        <w:pStyle w:val="Heading3"/>
      </w:pPr>
      <w:r>
        <w:t>9.4 Integrated Cascade: How It Works</w:t>
      </w:r>
    </w:p>
    <w:p>
      <w:pPr>
        <w:pStyle w:val="ListBullet"/>
      </w:pPr>
      <w:r>
        <w:rPr>
          <w:b/>
        </w:rPr>
        <w:t xml:space="preserve">Federal statutory framework sets standards: </w:t>
      </w:r>
      <w:r>
        <w:t>Multicultural Act; anti-discrimination; national incident database; funding conditions.</w:t>
      </w:r>
    </w:p>
    <w:p>
      <w:pPr>
        <w:pStyle w:val="ListBullet"/>
      </w:pPr>
      <w:r>
        <w:rPr>
          <w:b/>
        </w:rPr>
        <w:t xml:space="preserve">State implements through education, policing, service delivery: </w:t>
      </w:r>
      <w:r>
        <w:t>Teacher training (racial literacy); police counter-extremism; service accessibility standards; multicultural councils.</w:t>
      </w:r>
    </w:p>
    <w:p>
      <w:pPr>
        <w:pStyle w:val="ListBullet"/>
      </w:pPr>
      <w:r>
        <w:rPr>
          <w:b/>
        </w:rPr>
        <w:t xml:space="preserve">Local councils own community relationships and delivery: </w:t>
      </w:r>
      <w:r>
        <w:t>Randwick model: direct consultation, festivals, lived experience input, public space activation, community grants.</w:t>
      </w:r>
    </w:p>
    <w:p>
      <w:pPr>
        <w:pStyle w:val="ListBullet"/>
      </w:pPr>
      <w:r>
        <w:rPr>
          <w:b/>
        </w:rPr>
        <w:t xml:space="preserve">Accountability flows upward: </w:t>
      </w:r>
      <w:r>
        <w:t>Councils→states→federal; National Lived Experience Council audits; Parliament receives annual Racism and Social Cohesion Report.</w:t>
      </w:r>
    </w:p>
    <w:p>
      <w:pPr>
        <w:pStyle w:val="ListBullet"/>
      </w:pPr>
      <w:r>
        <w:rPr>
          <w:b/>
        </w:rPr>
        <w:t xml:space="preserve">Learning loops enable adaptation: </w:t>
      </w:r>
      <w:r>
        <w:t>Incident response protocols updated; successful pilots scaled; unsuccessful discontinued. Crossroads25-style surveys track attitude change; social distance measured longitudinally.</w:t>
      </w:r>
    </w:p>
    <w:p>
      <w:pPr>
        <w:pStyle w:val="Heading3"/>
      </w:pPr>
      <w:r>
        <w:t>9.5 Group-Specific Policy Priorities</w:t>
      </w:r>
    </w:p>
    <w:p>
      <w:r>
        <w:t>Within integrated federal-state-local framework, prioritize group-specific interventions:</w:t>
      </w:r>
    </w:p>
    <w:p>
      <w:pPr>
        <w:pStyle w:val="Heading4"/>
      </w:pPr>
      <w:r>
        <w:t>Muslims</w:t>
      </w:r>
    </w:p>
    <w:p>
      <w:pPr>
        <w:pStyle w:val="ListBullet"/>
      </w:pPr>
      <w:r>
        <w:t>Counter-terrorism narrative reframing + community trust-building</w:t>
      </w:r>
    </w:p>
    <w:p>
      <w:pPr>
        <w:pStyle w:val="ListBullet"/>
      </w:pPr>
      <w:r>
        <w:t>Federal: Counter-Extremism Centre with Muslim advisory board; Antisemitism Taskforce expanded to Islamophobia</w:t>
      </w:r>
    </w:p>
    <w:p>
      <w:pPr>
        <w:pStyle w:val="ListBullet"/>
      </w:pPr>
      <w:r>
        <w:t>State: police counter-extremism training; Islam curriculum (separate from terrorism); university prayer space funding</w:t>
      </w:r>
    </w:p>
    <w:p>
      <w:pPr>
        <w:pStyle w:val="ListBullet"/>
      </w:pPr>
      <w:r>
        <w:t>Local: interfaith dialogue (Jewish-Muslim-Christian); festival support (Ramadan, Eid); accessibility audit</w:t>
      </w:r>
    </w:p>
    <w:p>
      <w:pPr>
        <w:pStyle w:val="Heading4"/>
      </w:pPr>
      <w:r>
        <w:t>Chinese</w:t>
      </w:r>
    </w:p>
    <w:p>
      <w:pPr>
        <w:pStyle w:val="ListBullet"/>
      </w:pPr>
      <w:r>
        <w:t>Economic reframing + geopolitical anxiety management + visibility</w:t>
      </w:r>
    </w:p>
    <w:p>
      <w:pPr>
        <w:pStyle w:val="ListBullet"/>
      </w:pPr>
      <w:r>
        <w:t>Federal: workplace economic benefit briefings (tech sector growth); media representation targets (ABC/SBS); Australia-China geopolitical communication (de-escalation)</w:t>
      </w:r>
    </w:p>
    <w:p>
      <w:pPr>
        <w:pStyle w:val="ListBullet"/>
      </w:pPr>
      <w:r>
        <w:t>State: credential recognition framework; workforce planning transparency; counter-narratives in media</w:t>
      </w:r>
    </w:p>
    <w:p>
      <w:pPr>
        <w:pStyle w:val="ListBullet"/>
      </w:pPr>
      <w:r>
        <w:t>Local: Chinese community hubs (Randwick model); professional mentoring; business association engagement</w:t>
      </w:r>
    </w:p>
    <w:p>
      <w:pPr>
        <w:pStyle w:val="Heading4"/>
      </w:pPr>
      <w:r>
        <w:t>Indians</w:t>
      </w:r>
    </w:p>
    <w:p>
      <w:pPr>
        <w:pStyle w:val="ListBullet"/>
      </w:pPr>
      <w:r>
        <w:t>Credential legitimacy + workplace integration</w:t>
      </w:r>
    </w:p>
    <w:p>
      <w:pPr>
        <w:pStyle w:val="ListBullet"/>
      </w:pPr>
      <w:r>
        <w:t>Federal: skills recognition framework; workplace diversity standards (tech/medicine); international student task force</w:t>
      </w:r>
    </w:p>
    <w:p>
      <w:pPr>
        <w:pStyle w:val="ListBullet"/>
      </w:pPr>
      <w:r>
        <w:t>State: university recruitment transparency; professional org partnership (engineers, doctors, IT); credential verification systems</w:t>
      </w:r>
    </w:p>
    <w:p>
      <w:pPr>
        <w:pStyle w:val="ListBullet"/>
      </w:pPr>
      <w:r>
        <w:t>Local: professional mentoring; employer engagement; community representation</w:t>
      </w:r>
    </w:p>
    <w:p>
      <w:pPr>
        <w:pStyle w:val="Heading4"/>
      </w:pPr>
      <w:r>
        <w:t>Jews</w:t>
      </w:r>
    </w:p>
    <w:p>
      <w:pPr>
        <w:pStyle w:val="ListBullet"/>
      </w:pPr>
      <w:r>
        <w:t>Political de-polarization + campus safety + education nuance</w:t>
      </w:r>
    </w:p>
    <w:p>
      <w:pPr>
        <w:pStyle w:val="ListBullet"/>
      </w:pPr>
      <w:r>
        <w:t>Federal: Gonski Taskforce; campus safety funding; Royal Commission final recommendations (Dec 2026); lived experience council (Jewish representation)</w:t>
      </w:r>
    </w:p>
    <w:p>
      <w:pPr>
        <w:pStyle w:val="ListBullet"/>
      </w:pPr>
      <w:r>
        <w:t>State: university hate speech policies (due process); campus security; Holocaust + contemporary antisemitism education</w:t>
      </w:r>
    </w:p>
    <w:p>
      <w:pPr>
        <w:pStyle w:val="ListBullet"/>
      </w:pPr>
      <w:r>
        <w:t>Local: festival support (Jewish Roots Festival); interfaith dialogue; community safety; incident response</w:t>
      </w:r>
    </w:p>
    <w:p>
      <w:pPr>
        <w:pStyle w:val="Heading4"/>
      </w:pPr>
      <w:r>
        <w:t>Aboriginal</w:t>
      </w:r>
    </w:p>
    <w:p>
      <w:pPr>
        <w:pStyle w:val="ListBullet"/>
      </w:pPr>
      <w:r>
        <w:t>Structural justice + contact + historical education + representation</w:t>
      </w:r>
    </w:p>
    <w:p>
      <w:pPr>
        <w:pStyle w:val="ListBullet"/>
      </w:pPr>
      <w:r>
        <w:t>Federal: sovereignty recognition; land rights; K–12 historical education mandatory; representation targets (public service, media, academia)</w:t>
      </w:r>
    </w:p>
    <w:p>
      <w:pPr>
        <w:pStyle w:val="ListBullet"/>
      </w:pPr>
      <w:r>
        <w:t>State: Aboriginal affairs ministry elevation; treaty/co-design; community safety programming; counter-denial extremism</w:t>
      </w:r>
    </w:p>
    <w:p>
      <w:pPr>
        <w:pStyle w:val="ListBullet"/>
      </w:pPr>
      <w:r>
        <w:t>Local: cultural programs; land acknowledgment + action (Randwick acknowledges Bidjigal/Gadigal; fund Aboriginal-led); cross-cultural school programs; Aboriginal liaison in all services</w:t>
      </w:r>
    </w:p>
    <w:p>
      <w:pPr>
        <w:pStyle w:val="Heading3"/>
      </w:pPr>
      <w:r>
        <w:t>9.6 Implementation Timeline</w:t>
      </w:r>
    </w:p>
    <w:p>
      <w:pPr>
        <w:pStyle w:val="ListBullet"/>
      </w:pPr>
      <w:r>
        <w:rPr>
          <w:b/>
        </w:rPr>
        <w:t xml:space="preserve">2026 Q3–Q4: </w:t>
      </w:r>
      <w:r>
        <w:t>Royal Commission final report (December); Government response; Statutory Multicultural Act drafted; National Lived Experience Council convened; Antisemitism Education Taskforce curriculum ready; Randwick Plan adopted; state models developed.</w:t>
      </w:r>
    </w:p>
    <w:p>
      <w:pPr>
        <w:pStyle w:val="ListBullet"/>
      </w:pPr>
      <w:r>
        <w:rPr>
          <w:b/>
        </w:rPr>
        <w:t xml:space="preserve">2027 Q1–Q2: </w:t>
      </w:r>
      <w:r>
        <w:t>Multicultural Act introduced to Parliament; Counter-Extremism Centre established; Education sector begins racial literacy curriculum implementation; Federal grants distributed to councils; State education develops plans.</w:t>
      </w:r>
    </w:p>
    <w:p>
      <w:pPr>
        <w:pStyle w:val="ListBullet"/>
      </w:pPr>
      <w:r>
        <w:rPr>
          <w:b/>
        </w:rPr>
        <w:t xml:space="preserve">2027 Q3–Q4: </w:t>
      </w:r>
      <w:r>
        <w:t>Act passed; multicultural councils operational (federal + state); Universities receive audit findings/requirements; First teacher training cohort; Lived experience council completes first community audit.</w:t>
      </w:r>
    </w:p>
    <w:p>
      <w:pPr>
        <w:pStyle w:val="ListBullet"/>
      </w:pPr>
      <w:r>
        <w:rPr>
          <w:b/>
        </w:rPr>
        <w:t xml:space="preserve">2028–2029: </w:t>
      </w:r>
      <w:r>
        <w:t>Full-scale implementation: curriculum in schools; community interventions at scale; Annual Racism and Social Cohesion Report to Parliament; outcome measurement (social distance, salience, anxiety, incidents); course correction.</w:t>
      </w:r>
    </w:p>
    <w:p>
      <w:pPr>
        <w:pStyle w:val="ListBullet"/>
      </w:pPr>
      <w:r>
        <w:rPr>
          <w:b/>
        </w:rPr>
        <w:t xml:space="preserve">2030+: </w:t>
      </w:r>
      <w:r>
        <w:t>Sustained delivery; generational impact (children educated in racial literacy); incident rates decline (AHRC tracking); social distance reduces; integration outcomes strengthen; 5-yearly Royal Commission review cycle.</w:t>
      </w:r>
    </w:p>
    <w:p>
      <w:r>
        <w:br w:type="page"/>
      </w:r>
    </w:p>
    <w:p>
      <w:pPr>
        <w:pStyle w:val="Heading2"/>
      </w:pPr>
      <w:r>
        <w:t>10. Conclusion: A Whole-of-Government Approach</w:t>
      </w:r>
    </w:p>
    <w:p>
      <w:r>
        <w:t>Racism in Australia is not monolithic but a stratified, group-specific complex of social distance, salience, intensity, valency, and anxiety. This paper maps five target groups—Muslims, Chinese, Indians, Jews, Aboriginal Australians—revealing distinct "topographies" requiring distinct interventions. The Royal Commission on Antisemitism and Social Cohesion (2026), AHRC Racism@Uni (2026), Crossroads25 (2025), and Randwick Council Plan (2026) provide both evidence and practical model.</w:t>
      </w:r>
    </w:p>
    <w:p>
      <w:pPr>
        <w:pStyle w:val="ListNumber"/>
      </w:pPr>
      <w:r>
        <w:t>(1) Anxiety amplifies racism</w:t>
      </w:r>
      <w:r>
        <w:t xml:space="preserve"> Economic, cultural, existential, contact anxiety increase racist expression. Policy must target anxiety sources: economic security, historical justice, contact opportunity, media representation.</w:t>
      </w:r>
    </w:p>
    <w:p>
      <w:pPr>
        <w:pStyle w:val="ListNumber"/>
      </w:pPr>
      <w:r>
        <w:t>(2) Different groups require different interventions</w:t>
      </w:r>
      <w:r>
        <w:t xml:space="preserve"> Muslims: counter-terrorism narrative + contact building. Chinese: economic reframing + geopolitical anxiety management. Jews: political de-polarization + nuanced education. Aboriginal: structural justice + contact + historical education. Indians: credential legitimacy + workplace integration.</w:t>
      </w:r>
    </w:p>
    <w:p>
      <w:pPr>
        <w:pStyle w:val="ListNumber"/>
      </w:pPr>
      <w:r>
        <w:t>(3) Federal-state-local coordination essential</w:t>
      </w:r>
      <w:r>
        <w:t xml:space="preserve"> Randwick demonstrates that municipal integrated plans—built on community consultation, lived experience input, multi-sector partnership—operationalize evidence-based interventions at scale.</w:t>
      </w:r>
    </w:p>
    <w:p>
      <w:pPr>
        <w:pStyle w:val="ListNumber"/>
      </w:pPr>
      <w:r>
        <w:t>(4) Accountability and learning loops</w:t>
      </w:r>
      <w:r>
        <w:t xml:space="preserve"> Annual reporting on incidents, outcomes, attitude change (Crossroads25-style surveys, incident databases) enable evidence-based adaptation and prevent inertia.</w:t>
      </w:r>
    </w:p>
    <w:p>
      <w:pPr>
        <w:pStyle w:val="ListNumber"/>
      </w:pPr>
      <w:r>
        <w:t>(5) Institutional architecture</w:t>
      </w:r>
      <w:r>
        <w:t xml:space="preserve"> Statutory Multicultural Act + National Counter-Extremism Centre + National Lived Experience Council—supported by federal funding, state coordination, local leadership—provide sustainable social cohesion framework.</w:t>
      </w:r>
    </w:p>
    <w:p>
      <w:r>
        <w:t>Australia has the evidence (AHRC, Royal Commission), models (Randwick), and momentum (Gonski Taskforce, Special Envoy, state initiatives). Implementation requires whole-of-government commitment and sustained funding. The cost of inaction—rising incidents, polarization, institutional fragmentation—far exceeds the investment required. The social topography of Australian racism can be remapped through strategic, evidence-based intervention. The next phase is implementation.</w:t>
      </w:r>
    </w:p>
    <w:p>
      <w:r>
        <w:br w:type="page"/>
      </w:r>
    </w:p>
    <w:p>
      <w:pPr>
        <w:pStyle w:val="Heading2"/>
      </w:pPr>
      <w:r>
        <w:t>References</w:t>
      </w:r>
    </w:p>
    <w:p>
      <w:pPr>
        <w:pStyle w:val="ListBullet"/>
      </w:pPr>
      <w:r>
        <w:t>Allport, G.W. (1954). The Nature of Prejudice. Addison-Wesley.</w:t>
      </w:r>
    </w:p>
    <w:p>
      <w:pPr>
        <w:pStyle w:val="ListBullet"/>
      </w:pPr>
      <w:r>
        <w:t>Australian Human Rights Commission. (2026). Respect at Uni: Study into Antisemitism, Islamophobia, Racism and the Experience of First Nations People (Racism@Uni Study). Lead: Giridharan Sivaraman, Race Discrimination Commissioner; Principal Researcher: Assoc. Prof. Deirdre Howard-Wagner, POLIS Centre, ANU.</w:t>
      </w:r>
    </w:p>
    <w:p>
      <w:pPr>
        <w:pStyle w:val="ListBullet"/>
      </w:pPr>
      <w:r>
        <w:t>Executive Council of Australian Jewry. (2025). Report on Anti-Jewish Incidents in Australia 2025.</w:t>
      </w:r>
    </w:p>
    <w:p>
      <w:pPr>
        <w:pStyle w:val="ListBullet"/>
      </w:pPr>
      <w:r>
        <w:t>Markus, A. (2025). Crossroads25: Australian Attitudes to Jews, Israel and Antisemitism. Commissioned by The Jewish Independent; n=2270 (YouGov).</w:t>
      </w:r>
    </w:p>
    <w:p>
      <w:pPr>
        <w:pStyle w:val="ListBullet"/>
      </w:pPr>
      <w:r>
        <w:t>Pettigrew, T.F., &amp; Tropp, L.R. (2006). A Meta-Analytic Test of Intergroup Contact Theory. Journal of Personality and Social Psychology, 90(5), 751–783.</w:t>
      </w:r>
    </w:p>
    <w:p>
      <w:pPr>
        <w:pStyle w:val="ListBullet"/>
      </w:pPr>
      <w:r>
        <w:t>Randwick City Council. (2026). Social Cohesion and Multicultural Plan 2026–2031. Adopted June 2026.</w:t>
      </w:r>
    </w:p>
    <w:p>
      <w:pPr>
        <w:pStyle w:val="ListBullet"/>
      </w:pPr>
      <w:r>
        <w:t>Royal Commission on Antisemitism and Social Cohesion. (2026). Interim Report. Commissioner: the Hon Virginia Bell AC SC. Tabled Parliament 30 April 2026.</w:t>
      </w:r>
    </w:p>
    <w:p>
      <w:pPr>
        <w:pStyle w:val="ListBullet"/>
      </w:pPr>
      <w:r>
        <w:t>Stephan, W.G., &amp; Stephan, C.W. (1985). Intergroup Anxiety. Journal of Social Issues, 41(3), 157–175.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