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spacing w:before="2400"/>
        <w:jc w:val="center"/>
      </w:pPr>
      <w:r>
        <w:rPr>
          <w:b/>
          <w:sz w:val="52"/>
        </w:rPr>
        <w:t>Solving the Quandary</w:t>
      </w:r>
    </w:p>
    <w:p>
      <w:pPr>
        <w:spacing w:before="120"/>
        <w:jc w:val="center"/>
      </w:pPr>
      <w:r>
        <w:rPr>
          <w:b/>
          <w:sz w:val="34"/>
        </w:rPr>
        <w:t>A Government Pathway for Antiracism and Social Cohesion</w:t>
      </w:r>
    </w:p>
    <w:p>
      <w:pPr>
        <w:spacing w:before="480"/>
        <w:jc w:val="center"/>
      </w:pPr>
      <w:r>
        <w:rPr>
          <w:i/>
          <w:sz w:val="24"/>
        </w:rPr>
        <w:t>Reconciling the Multicultural Framework Review, the National Anti-Racism Framework, and the Reports of the Special Envoys to Combat Antisemitism and Islamophobia</w:t>
      </w:r>
    </w:p>
    <w:p>
      <w:pPr>
        <w:spacing w:before="1800"/>
        <w:jc w:val="center"/>
      </w:pPr>
      <w:r>
        <w:rPr>
          <w:sz w:val="30"/>
        </w:rPr>
        <w:t>Andrew Jakubowicz</w:t>
      </w:r>
    </w:p>
    <w:p>
      <w:pPr>
        <w:spacing w:before="80"/>
        <w:jc w:val="center"/>
      </w:pPr>
      <w:r>
        <w:rPr>
          <w:sz w:val="24"/>
        </w:rPr>
        <w:t>Emeritus Professor of Sociology, University of Technology Sydney</w:t>
      </w:r>
    </w:p>
    <w:p>
      <w:pPr>
        <w:spacing w:before="960"/>
        <w:jc w:val="center"/>
      </w:pPr>
      <w:r>
        <w:rPr>
          <w:sz w:val="24"/>
        </w:rPr>
        <w:t>Policy Brief — July 2026</w:t>
      </w:r>
    </w:p>
    <w:p>
      <w:r>
        <w:br w:type="page"/>
      </w:r>
    </w:p>
    <w:bookmarkStart w:id="23" w:name="executive-summary"/>
    <w:p>
      <w:pPr>
        <w:pStyle w:val="Heading2"/>
      </w:pPr>
      <w:r>
        <w:t xml:space="preserve">Executive Summary</w:t>
      </w:r>
    </w:p>
    <w:p>
      <w:pPr>
        <w:pStyle w:val="FirstParagraph"/>
      </w:pPr>
      <w:r>
        <w:t xml:space="preserve">Between July 2024 and September 2025, the Australian Government received four authoritative frameworks addressing racism, prejudice and social cohesion: the Multicultural Framework Review’s report</w:t>
      </w:r>
      <w:r>
        <w:t xml:space="preserve"> </w:t>
      </w:r>
      <w:r>
        <w:rPr>
          <w:iCs/>
          <w:i/>
        </w:rPr>
        <w:t xml:space="preserve">Towards Fairness</w:t>
      </w:r>
      <w:r>
        <w:t xml:space="preserve"> </w:t>
      </w:r>
      <w:r>
        <w:t xml:space="preserve">(July 2024); the Australian Human Rights Commission’s</w:t>
      </w:r>
      <w:r>
        <w:t xml:space="preserve"> </w:t>
      </w:r>
      <w:r>
        <w:rPr>
          <w:iCs/>
          <w:i/>
        </w:rPr>
        <w:t xml:space="preserve">National Anti-Racism Framework</w:t>
      </w:r>
      <w:r>
        <w:t xml:space="preserve"> </w:t>
      </w:r>
      <w:r>
        <w:t xml:space="preserve">(November 2024); the Special Envoy to Combat Antisemitism’s</w:t>
      </w:r>
      <w:r>
        <w:t xml:space="preserve"> </w:t>
      </w:r>
      <w:r>
        <w:rPr>
          <w:iCs/>
          <w:i/>
        </w:rPr>
        <w:t xml:space="preserve">Plan to Combat Antisemitism</w:t>
      </w:r>
      <w:r>
        <w:t xml:space="preserve"> </w:t>
      </w:r>
      <w:r>
        <w:t xml:space="preserve">(July 2025); and the Special Envoy to Combat Islamophobia’s</w:t>
      </w:r>
      <w:r>
        <w:t xml:space="preserve"> </w:t>
      </w:r>
      <w:r>
        <w:rPr>
          <w:iCs/>
          <w:i/>
        </w:rPr>
        <w:t xml:space="preserve">A National Response to Islamophobia</w:t>
      </w:r>
      <w:r>
        <w:t xml:space="preserve"> </w:t>
      </w:r>
      <w:r>
        <w:t xml:space="preserve">(September 2025).</w:t>
      </w:r>
      <w:r>
        <w:rPr>
          <w:rStyle w:val="FootnoteReference"/>
        </w:rPr>
        <w:footnoteReference w:id="20"/>
      </w:r>
      <w:r>
        <w:t xml:space="preserve"> </w:t>
      </w:r>
      <w:r>
        <w:t xml:space="preserve">Each rests on extensive consultation. Each carries the imprimatur of government commissioning. Each proposes a program that its authors present as necessary and urgent. Together they constitute the most substantial body of official thinking about racism and cohesion that Australia has produced in a generation — and they cannot all be implemented as written.</w:t>
      </w:r>
    </w:p>
    <w:p>
      <w:pPr>
        <w:pStyle w:val="BodyText"/>
      </w:pPr>
      <w:r>
        <w:t xml:space="preserve">The quandary this brief addresses is usually framed as a coordination problem: four frameworks, overlapping mandates, no mechanism to reconcile them. That framing is accurate but insufficient. The deeper problem is one of</w:t>
      </w:r>
      <w:r>
        <w:t xml:space="preserve"> </w:t>
      </w:r>
      <w:r>
        <w:rPr>
          <w:bCs/>
          <w:b/>
        </w:rPr>
        <w:t xml:space="preserve">standing</w:t>
      </w:r>
      <w:r>
        <w:t xml:space="preserve">. The four frameworks do not merely differ in content; they occupy four different rungs of a de facto institutional hierarchy. The Special Envoy to Combat Antisemitism’s plan was formally</w:t>
      </w:r>
      <w:r>
        <w:t xml:space="preserve"> </w:t>
      </w:r>
      <w:r>
        <w:rPr>
          <w:iCs/>
          <w:i/>
        </w:rPr>
        <w:t xml:space="preserve">adopted</w:t>
      </w:r>
      <w:r>
        <w:t xml:space="preserve"> </w:t>
      </w:r>
      <w:r>
        <w:t xml:space="preserve">by government, with a legislative package on hate speech, hate crimes, hate symbols and doxxing enacted, an Antisemitism Education Taskforce established, and new visa powers foreshadowed.</w:t>
      </w:r>
      <w:r>
        <w:rPr>
          <w:rStyle w:val="FootnoteReference"/>
        </w:rPr>
        <w:footnoteReference w:id="21"/>
      </w:r>
      <w:r>
        <w:t xml:space="preserve"> </w:t>
      </w:r>
      <w:r>
        <w:t xml:space="preserve">The National Anti-Racism Framework was commissioned and</w:t>
      </w:r>
      <w:r>
        <w:t xml:space="preserve"> </w:t>
      </w:r>
      <w:r>
        <w:rPr>
          <w:iCs/>
          <w:i/>
        </w:rPr>
        <w:t xml:space="preserve">received</w:t>
      </w:r>
      <w:r>
        <w:t xml:space="preserve">, but its sixty-three recommendations have attracted no formal government response and its proposed National Anti-Racism Taskforce remains unestablished. The Multicultural Framework Review was</w:t>
      </w:r>
      <w:r>
        <w:t xml:space="preserve"> </w:t>
      </w:r>
      <w:r>
        <w:rPr>
          <w:iCs/>
          <w:i/>
        </w:rPr>
        <w:t xml:space="preserve">welcomed</w:t>
      </w:r>
      <w:r>
        <w:t xml:space="preserve">, with government committing to be</w:t>
      </w:r>
      <w:r>
        <w:t xml:space="preserve"> </w:t>
      </w:r>
      <w:r>
        <w:t xml:space="preserve">“</w:t>
      </w:r>
      <w:r>
        <w:t xml:space="preserve">guided by</w:t>
      </w:r>
      <w:r>
        <w:t xml:space="preserve">”</w:t>
      </w:r>
      <w:r>
        <w:t xml:space="preserve"> </w:t>
      </w:r>
      <w:r>
        <w:t xml:space="preserve">its principles — language that binds nothing. The Islamophobia Envoy’s fifty-four recommendations were released with prime ministerial praise and the undertaking that they would be</w:t>
      </w:r>
      <w:r>
        <w:t xml:space="preserve"> </w:t>
      </w:r>
      <w:r>
        <w:rPr>
          <w:iCs/>
          <w:i/>
        </w:rPr>
        <w:t xml:space="preserve">considered</w:t>
      </w:r>
      <w:r>
        <w:t xml:space="preserve">; at the time of the report’s launch no dedicated implementation funding had been announced, and the Muslim community’s perception of tokenism was voiced publicly at the launch itself.</w:t>
      </w:r>
    </w:p>
    <w:p>
      <w:pPr>
        <w:pStyle w:val="BodyText"/>
      </w:pPr>
      <w:r>
        <w:t xml:space="preserve">This asymmetry of standing predates, but has been dramatically deepened by, the terrorist attack on a Hanukkah gathering in Sydney on 3 December 2025 and the establishment in January 2026 of the Royal Commission on Antisemitism and Social Cohesion. The attack was an atrocity that legitimately demands the most serious governmental response, and this brief does not treat the intensified antisemitism agenda as a mere artefact of political leverage. But the Royal Commission — whose interim report appeared in April 2026 and whose final report is due in December 2026 — now sits above all four frameworks</w:t>
      </w:r>
      <w:r>
        <w:rPr>
          <w:rStyle w:val="FootnoteReference"/>
        </w:rPr>
        <w:footnoteReference w:id="22"/>
      </w:r>
      <w:r>
        <w:t xml:space="preserve"> </w:t>
      </w:r>
      <w:r>
        <w:t xml:space="preserve">in the Australian hierarchy of inquiry, and its remit deliberately couples antisemitism to</w:t>
      </w:r>
      <w:r>
        <w:t xml:space="preserve"> </w:t>
      </w:r>
      <w:r>
        <w:t xml:space="preserve">“</w:t>
      </w:r>
      <w:r>
        <w:t xml:space="preserve">social cohesion.</w:t>
      </w:r>
      <w:r>
        <w:t xml:space="preserve">”</w:t>
      </w:r>
      <w:r>
        <w:t xml:space="preserve"> </w:t>
      </w:r>
      <w:r>
        <w:t xml:space="preserve">That coupling is the hinge of the present moment. Depending on how the Commission construes it, the final report can either universalise the response to hatred within a coherent national architecture, or entrench a two-track system in which one form of racism is addressed through statute, royal commission and dedicated machinery while all others remain in the realm of frameworks, roadmaps and consideration.</w:t>
      </w:r>
    </w:p>
    <w:p>
      <w:pPr>
        <w:pStyle w:val="BodyText"/>
      </w:pPr>
      <w:r>
        <w:t xml:space="preserve">The brief identifies seven substantial commonalities across the four frameworks and six critical differences, of which three are genuinely incompatible rather than merely divergent: the choice between punitive-exclusionary and transformative-inclusionary instruments; the definitional regime governing antisemitism, Islamophobia and racism; and the treatment of the Israel–Palestine conflict as either integral to or separable from domestic anti-racism policy. It then proposes two pathway outcomes.</w:t>
      </w:r>
    </w:p>
    <w:p>
      <w:pPr>
        <w:pStyle w:val="BodyText"/>
      </w:pPr>
      <w:r>
        <w:rPr>
          <w:bCs/>
          <w:b/>
        </w:rPr>
        <w:t xml:space="preserve">Pathway One — Statutory Integration</w:t>
      </w:r>
      <w:r>
        <w:t xml:space="preserve"> </w:t>
      </w:r>
      <w:r>
        <w:t xml:space="preserve">subordinates all four frameworks to a single legislated architecture: a Multicultural Australia Act as framework legislation, the National Anti-Racism Framework as the operational spine, a positive duty inserted into the</w:t>
      </w:r>
      <w:r>
        <w:t xml:space="preserve"> </w:t>
      </w:r>
      <w:r>
        <w:rPr>
          <w:iCs/>
          <w:i/>
        </w:rPr>
        <w:t xml:space="preserve">Racial Discrimination Act 1975</w:t>
      </w:r>
      <w:r>
        <w:t xml:space="preserve"> </w:t>
      </w:r>
      <w:r>
        <w:t xml:space="preserve">as the unifying legal mechanism, the two envoys converted into statutory commissioners within one coordinated structure, First Nations co-governance as a non-negotiable design feature, and a single national data plan disaggregated by hate form. Its strength is coherence, symmetry and rights protection; its weakness is that it requires government to fold a royal-commission-backed antisemitism agenda into a general framework thirteen months after fifteen people were murdered, which no minister will readily do.</w:t>
      </w:r>
    </w:p>
    <w:p>
      <w:pPr>
        <w:pStyle w:val="BodyText"/>
      </w:pPr>
      <w:r>
        <w:rPr>
          <w:bCs/>
          <w:b/>
        </w:rPr>
        <w:t xml:space="preserve">Pathway Two — the Pluralist Parity Compact</w:t>
      </w:r>
      <w:r>
        <w:t xml:space="preserve"> </w:t>
      </w:r>
      <w:r>
        <w:t xml:space="preserve">accepts that distinct communities have won, and will retain, distinct instruments. It binds those instruments together not by hierarchy but by statutory parity rules: equivalence of legal protection across targeted groups, funding proportional to documented harm, equivalence of institutional status (both envoys statutory, both with funded implementation offices), a National Social Cohesion Council with explicit conflict-escalation procedures, and a mandatory annual public parity report. Its strength is political feasibility and respect for community agency; its weakness is that it risks institutionalising communal competition and making the state a permanent adjudicator of comparative victimhood.</w:t>
      </w:r>
    </w:p>
    <w:p>
      <w:pPr>
        <w:pStyle w:val="BodyText"/>
      </w:pPr>
      <w:r>
        <w:rPr>
          <w:bCs/>
          <w:b/>
        </w:rPr>
        <w:t xml:space="preserve">The brief recommends a sequenced hybrid.</w:t>
      </w:r>
      <w:r>
        <w:t xml:space="preserve"> </w:t>
      </w:r>
      <w:r>
        <w:t xml:space="preserve">In 2026–27, parity measures from Pathway Two should be implemented immediately: a formal government response to the Malik report, statutory status and a funded implementation office for the Islamophobia envoy, and funding for the NARF taskforce. These are the minimum conditions for retaining Muslim, Arab and broader multicultural community confidence in the national project while the Royal Commission completes its work. In 2027–28, the Royal Commission’s final report should be used as the legislative vehicle for statutory integration under a Multicultural Australia Act, with the positive duty as the through-line connecting the immediate and medium-term phases. The choice the Commonwealth faces is not between the four frameworks. It is between a national architecture that treats every Australian’s safety as an equal claim on the state, and a hierarchy of protection that will corrode the social cohesion it purports to defend.</w:t>
      </w:r>
    </w:p>
    <w:bookmarkEnd w:id="23"/>
    <w:bookmarkStart w:id="24" w:name="X839afb222fbd4144594f1f6566c5924cf4ab5fd"/>
    <w:p>
      <w:pPr>
        <w:pStyle w:val="Heading2"/>
      </w:pPr>
      <w:r>
        <w:t xml:space="preserve">A Note on Method, Sources and Framing Bias</w:t>
      </w:r>
    </w:p>
    <w:p>
      <w:pPr>
        <w:pStyle w:val="FirstParagraph"/>
      </w:pPr>
      <w:r>
        <w:t xml:space="preserve">This brief was prepared with AI-assisted research drawing on the published record: the four primary reports, government responses, court judgments, official releases and contemporaneous reporting. That record carries a structural framing risk which the analysis must name rather than inherit. Public contestation of the four frameworks is radically asymmetric. The antisemitism plan has attracted extensive published criticism — institutional (the AHRC), academic, journalistic and activist — while the Islamophobia strategy has attracted almost none. This asymmetry does not indicate that one document is more open to criticism than the other; it reflects the sociology of the surrounding debate. Hostility to Muslims in Australia issues predominantly from a political right that does not engage the policy register at all, whereas criticism of antisemitism policy issues largely from a left that argues at length and in policy terms. An analysis that treats the</w:t>
      </w:r>
      <w:r>
        <w:t xml:space="preserve"> </w:t>
      </w:r>
      <w:r>
        <w:rPr>
          <w:iCs/>
          <w:i/>
        </w:rPr>
        <w:t xml:space="preserve">volume</w:t>
      </w:r>
      <w:r>
        <w:t xml:space="preserve"> </w:t>
      </w:r>
      <w:r>
        <w:t xml:space="preserve">of published criticism as a proxy for</w:t>
      </w:r>
      <w:r>
        <w:t xml:space="preserve"> </w:t>
      </w:r>
      <w:r>
        <w:rPr>
          <w:iCs/>
          <w:i/>
        </w:rPr>
        <w:t xml:space="preserve">contestability</w:t>
      </w:r>
      <w:r>
        <w:t xml:space="preserve"> </w:t>
      </w:r>
      <w:r>
        <w:t xml:space="preserve">will therefore reproduce that asymmetry — and, in the online environment, will also ingest organised campaigns that contest antisemitism policy in bad faith alongside criticism made in good faith, without any reliable marker distinguishing them.</w:t>
      </w:r>
    </w:p>
    <w:p>
      <w:pPr>
        <w:pStyle w:val="BodyText"/>
      </w:pPr>
      <w:r>
        <w:t xml:space="preserve">Three safeguards are applied in this brief. First, every factual claim about the frameworks’ standing is anchored to official documents — the reports themselves, government responses, enacted legislation — and, where legal questions arise, to court judgments rather than commentary about them. Second, contested characterisations are attributed to identifiable institutional sources (the AHRC’s stated concerns, the Federal Court’s findings) rather than adopted from ambient discourse, so that the reader can weigh the authority behind each. Third, critical scrutiny is applied symmetrically by design rather than by citation: Section 2.4 subjects the Islamophobia strategy to the same contestation analysis that Section 2.3 applies to the antisemitism plan, on the principle that where the published record is lopsided, the analyst’s obligation is to construct the missing scrutiny, not to mistake its absence for a verdict.</w:t>
      </w:r>
    </w:p>
    <w:bookmarkEnd w:id="24"/>
    <w:bookmarkStart w:id="30" w:name="the-policy-moment"/>
    <w:p>
      <w:pPr>
        <w:pStyle w:val="Heading2"/>
      </w:pPr>
      <w:r>
        <w:t xml:space="preserve">1. The Policy Moment</w:t>
      </w:r>
    </w:p>
    <w:p>
      <w:pPr>
        <w:pStyle w:val="FirstParagraph"/>
      </w:pPr>
      <w:r>
        <w:t xml:space="preserve">The four frameworks arrived in a compressed sequence. The Multicultural Framework Review, conducted by Dr Bulent Hass Dellal AO, Nyadol Nyuon OAM and Christine Castley, reported in July 2024 after consulting more than 1,430 individuals and 750 organisations</w:t>
      </w:r>
      <w:r>
        <w:rPr>
          <w:rStyle w:val="FootnoteReference"/>
        </w:rPr>
        <w:footnoteReference w:id="25"/>
      </w:r>
      <w:r>
        <w:t xml:space="preserve">, the first major examination of Australian multiculturalism since the era of Grassby and Galbally. The Australian Human Rights Commission delivered the National Anti-Racism Framework in November 2024, the culmination of a scoping and consultation process running since 2021 and drawing on, among other inputs, FECCA-conducted consultations reaching more than 860 participants</w:t>
      </w:r>
      <w:r>
        <w:rPr>
          <w:rStyle w:val="FootnoteReference"/>
        </w:rPr>
        <w:footnoteReference w:id="26"/>
      </w:r>
      <w:r>
        <w:t xml:space="preserve">. Jillian Segal AO, appointed Special Envoy to Combat Antisemitism in July 2024, delivered her Plan in July 2025; Aftab Malik, appointed Special Envoy to Combat Islamophobia in September 2024, delivered his Strategic Framework in September 2025.</w:t>
      </w:r>
    </w:p>
    <w:p>
      <w:pPr>
        <w:pStyle w:val="BodyText"/>
      </w:pPr>
      <w:r>
        <w:t xml:space="preserve">Two subsequent events transformed the field in which those documents now sit. The first was the terrorist attack of 3 December 2025, in which fifteen people were killed at a Hanukkah celebration in Sydney — the deadliest antisemitic attack in Australian history and among the deadliest acts of terrorism ever committed on Australian soil. The second was the government’s response: the establishment in January 2026 of the Royal Commission on Antisemitism and Social Cohesion, with an interim report delivered in April 2026 and a final report due in December 2026. A royal commission is the apex instrument of Australian public inquiry. Its establishment means that one of the four forms of concern addressed by the 2024–25 frameworks — antisemitism — now commands investigative machinery, evidentiary powers and political salience that none of the others possesses.</w:t>
      </w:r>
    </w:p>
    <w:p>
      <w:pPr>
        <w:pStyle w:val="BodyText"/>
      </w:pPr>
      <w:r>
        <w:t xml:space="preserve">Meanwhile, the evidence base for the</w:t>
      </w:r>
      <w:r>
        <w:t xml:space="preserve"> </w:t>
      </w:r>
      <w:r>
        <w:rPr>
          <w:iCs/>
          <w:i/>
        </w:rPr>
        <w:t xml:space="preserve">general</w:t>
      </w:r>
      <w:r>
        <w:t xml:space="preserve"> </w:t>
      </w:r>
      <w:r>
        <w:t xml:space="preserve">problem has thickened. The Australian Human Rights Commission’s Racism@Uni study, delivered to government in December 2025 and released in February 2026</w:t>
      </w:r>
      <w:r>
        <w:rPr>
          <w:rStyle w:val="FootnoteReference"/>
        </w:rPr>
        <w:footnoteReference w:id="27"/>
      </w:r>
      <w:r>
        <w:t xml:space="preserve">, found interpersonal and structural racism pervasive and deeply entrenched in Australian universities, affecting Jewish, Muslim, Palestinian, Middle Eastern and First Nations students and staff in distinct but simultaneously documented ways. The Commission’s 2026 human rights assessment characterised existing anti-racism approaches in Australia as ad hoc, disjointed and often ineffective — an official verdict</w:t>
      </w:r>
      <w:r>
        <w:rPr>
          <w:rStyle w:val="FootnoteReference"/>
        </w:rPr>
        <w:footnoteReference w:id="28"/>
      </w:r>
      <w:r>
        <w:t xml:space="preserve">, in effect, on the very fragmentation this brief analyses. And the long-running Scanlon Foundation social cohesion data continues to record the paradox that frames the entire policy problem: overwhelming majority support for multiculturalism in principle (approaching ninety per cent) alongside declining national belonging and stubbornly persistent experiences of discrimination.</w:t>
      </w:r>
      <w:r>
        <w:rPr>
          <w:rStyle w:val="FootnoteReference"/>
        </w:rPr>
        <w:footnoteReference w:id="29"/>
      </w:r>
    </w:p>
    <w:p>
      <w:pPr>
        <w:pStyle w:val="BodyText"/>
      </w:pPr>
      <w:r>
        <w:t xml:space="preserve">The moment, then, is defined by three facts. First, government holds four authoritative but unreconciled frameworks. Second, the December 2025 attack and the Royal Commission have sharply raised the stakes of</w:t>
      </w:r>
      <w:r>
        <w:t xml:space="preserve"> </w:t>
      </w:r>
      <w:r>
        <w:rPr>
          <w:iCs/>
          <w:i/>
        </w:rPr>
        <w:t xml:space="preserve">how</w:t>
      </w:r>
      <w:r>
        <w:t xml:space="preserve"> </w:t>
      </w:r>
      <w:r>
        <w:t xml:space="preserve">they are reconciled, because the Commission’s final report will either open or close the door to a unified architecture. Third, the asymmetry in how government has treated the four frameworks is now visible to the communities concerned, and is itself becoming a driver of grievance. A pathway is required, and the window for choosing it deliberately — rather than having it chosen by default through accretion — closes in December 2026.</w:t>
      </w:r>
    </w:p>
    <w:bookmarkEnd w:id="30"/>
    <w:bookmarkStart w:id="47" w:name="four-frameworks-four-standings"/>
    <w:p>
      <w:pPr>
        <w:pStyle w:val="Heading2"/>
      </w:pPr>
      <w:r>
        <w:t xml:space="preserve">2. Four Frameworks, Four Standings</w:t>
      </w:r>
    </w:p>
    <w:p>
      <w:pPr>
        <w:pStyle w:val="FirstParagraph"/>
      </w:pPr>
      <w:r>
        <w:t xml:space="preserve">Any comparison of the four documents must proceed on two axes at once: what each framework</w:t>
      </w:r>
      <w:r>
        <w:t xml:space="preserve"> </w:t>
      </w:r>
      <w:r>
        <w:rPr>
          <w:iCs/>
          <w:i/>
        </w:rPr>
        <w:t xml:space="preserve">says</w:t>
      </w:r>
      <w:r>
        <w:t xml:space="preserve"> </w:t>
      </w:r>
      <w:r>
        <w:t xml:space="preserve">(its architecture and theory of change) and what each framework</w:t>
      </w:r>
      <w:r>
        <w:t xml:space="preserve"> </w:t>
      </w:r>
      <w:r>
        <w:rPr>
          <w:iCs/>
          <w:i/>
        </w:rPr>
        <w:t xml:space="preserve">is</w:t>
      </w:r>
      <w:r>
        <w:t xml:space="preserve"> </w:t>
      </w:r>
      <w:r>
        <w:t xml:space="preserve">(its institutional standing — statutory basis, funding, government response status, implementation machinery). Analyses that attend only to the first axis produce elegant syntheses that founder on the second. The following profiles integrate both.</w:t>
      </w:r>
    </w:p>
    <w:bookmarkStart w:id="33" w:name="X5a5b45c06dd08ac1dd8421a93c37abc831d3d44"/>
    <w:p>
      <w:pPr>
        <w:pStyle w:val="Heading3"/>
      </w:pPr>
      <w:r>
        <w:t xml:space="preserve">2.1 The Multicultural Framework Review: the affirmation document</w:t>
      </w:r>
    </w:p>
    <w:p>
      <w:pPr>
        <w:pStyle w:val="FirstParagraph"/>
      </w:pPr>
      <w:r>
        <w:rPr>
          <w:iCs/>
          <w:i/>
        </w:rPr>
        <w:t xml:space="preserve">Towards Fairness: A Multicultural Australia for All</w:t>
      </w:r>
      <w:r>
        <w:t xml:space="preserve"> </w:t>
      </w:r>
      <w:r>
        <w:t xml:space="preserve">is, by design, a strengths-based document. Its premise is that Australian multiculturalism is a demonstrated national achievement — the report and the government response both invoke the Scanlon finding that nearly ninety per cent of Australians agree multiculturalism has been good for the country — and that the task of the coming decade is consolidation and modernisation rather than crisis response. Its three pillars (connection, identity and belonging, inclusion) translate into a roadmap of institutional refinements: leadership and accountability structures spanning the three tiers of government, co-design with communities, English-language and citizenship settings, cultural participation through arts, sport and media, cultural capability in public services, a sustainable language services sector, digital inclusion, and attention to young people and the regions. Discrimination and racism appear prominently in the consultation record — the second most common theme in submissions — but the Review treats them as friction within a fundamentally sound system rather than as evidence of structural failure.</w:t>
      </w:r>
    </w:p>
    <w:p>
      <w:pPr>
        <w:pStyle w:val="BodyText"/>
      </w:pPr>
      <w:r>
        <w:t xml:space="preserve">The Review’s standing is that of a welcomed advisory document. The government’s July 2024 response committed to being guided by the Framework’s principles</w:t>
      </w:r>
      <w:r>
        <w:rPr>
          <w:rStyle w:val="FootnoteReference"/>
        </w:rPr>
        <w:footnoteReference w:id="31"/>
      </w:r>
      <w:r>
        <w:t xml:space="preserve"> </w:t>
      </w:r>
      <w:r>
        <w:t xml:space="preserve">and praised the consultation effort, which was genuinely remarkable: submissions in thirty-five community languages, more than 200 consultation events, deliberate engagement of children and young people.</w:t>
      </w:r>
      <w:r>
        <w:rPr>
          <w:rStyle w:val="FootnoteReference"/>
        </w:rPr>
        <w:footnoteReference w:id="32"/>
      </w:r>
      <w:r>
        <w:t xml:space="preserve"> </w:t>
      </w:r>
      <w:r>
        <w:t xml:space="preserve">But</w:t>
      </w:r>
      <w:r>
        <w:t xml:space="preserve"> </w:t>
      </w:r>
      <w:r>
        <w:t xml:space="preserve">“</w:t>
      </w:r>
      <w:r>
        <w:t xml:space="preserve">guided by the principles</w:t>
      </w:r>
      <w:r>
        <w:t xml:space="preserve">”</w:t>
      </w:r>
      <w:r>
        <w:t xml:space="preserve"> </w:t>
      </w:r>
      <w:r>
        <w:t xml:space="preserve">is the weakest form of governmental commitment short of silence. No implementation authority was created, no dedicated appropriation was announced, and the Review’s most institutionally significant possibility — framework legislation giving multiculturalism a statutory foundation, of the kind several states already possess and that the present author has elsewhere argued should take the form of a Commonwealth Multicultural Act — was left on the table. The MFR is therefore best understood as a reservoir of legitimated policy ideas awaiting a legislative vehicle, rather than as a program in execution.</w:t>
      </w:r>
    </w:p>
    <w:bookmarkEnd w:id="33"/>
    <w:bookmarkStart w:id="36" w:name="Xb9c8d8e3daa3f6232e01f7081b64f3ae5ab2c36"/>
    <w:p>
      <w:pPr>
        <w:pStyle w:val="Heading3"/>
      </w:pPr>
      <w:r>
        <w:t xml:space="preserve">2.2 The National Anti-Racism Framework: the structural document</w:t>
      </w:r>
    </w:p>
    <w:p>
      <w:pPr>
        <w:pStyle w:val="FirstParagraph"/>
      </w:pPr>
      <w:r>
        <w:t xml:space="preserve">The AHRC’s Framework is the MFR’s temperamental opposite. Where the Review affirms, the Framework indicts: its consistent finding, from communities and especially from First Nations peoples, is that systemic and structural racism is deeply embedded in Australian institutions and requires an urgent, coordinated national response. Its sixty-three recommendations span the justice and legal system, health, education, workplaces, media and the arts, and data. Three design features distinguish it. First, First Nations centrality is stated as an overarching principle: the experiences of First Peoples, grounded in colonisation and its continuing effects, must be central to all anti-racism action, with implementation of Closing the Gap commitments, integration of the UN Declaration on the Rights of Indigenous Peoples, and a nationally recognised definition of First Nations cultural safety among the concrete measures. Second, the Framework’s legal centrepiece is the insertion of a positive duty into the Racial Discrimination Act 1975, requiring organisations to take reasonable and proportionate measures to prevent racial discrimination before it occurs — shifting the burden of anti-racism from the people who experience it to the institutions that produce it</w:t>
      </w:r>
      <w:r>
        <w:rPr>
          <w:rStyle w:val="FootnoteReference"/>
        </w:rPr>
        <w:footnoteReference w:id="34"/>
      </w:r>
      <w:r>
        <w:t xml:space="preserve">. Third, the Framework proposes coordination machinery: a National Anti-Racism Taskforce to oversee implementation, and a National Anti-Racism Data Plan to remedy the inconsistent, ad hoc state of Australian racism data.</w:t>
      </w:r>
    </w:p>
    <w:p>
      <w:pPr>
        <w:pStyle w:val="BodyText"/>
      </w:pPr>
      <w:r>
        <w:t xml:space="preserve">The Framework’s standing embodies a paradox. Its author is a statutory body — the AHRC has legal permanence, investigative functions and a Race Discrimination Commissioner — and the Framework was developed with dedicated Commonwealth funding. Yet the government has issued no formal response adopting or rejecting the sixty-three recommendations; the Taskforce has not been established; the positive duty has not been legislated; and the Data Plan remains a proposal. The Framework thus has the strongest institutional author and among the weakest political traction of the four documents: commissioned, received, cited (including by both Special Envoys), but not adopted. Race Discrimination Commissioner Giridharan Sivaraman’s public interventions since mid-2025 — welcoming the Envoys’ work, noting the alignment of Segal’s education and media recommendations with the Framework, but flagging human rights concerns about other elements and calling for a nationally coordinated response — are the interventions of an institution attempting to convert statutory standing into policy influence it does not currently command.</w:t>
      </w:r>
      <w:r>
        <w:rPr>
          <w:rStyle w:val="FootnoteReference"/>
        </w:rPr>
        <w:footnoteReference w:id="35"/>
      </w:r>
    </w:p>
    <w:bookmarkEnd w:id="36"/>
    <w:bookmarkStart w:id="40" w:name="X7df611c4bb705fe4d13fcb2c287ff4993bfba07"/>
    <w:p>
      <w:pPr>
        <w:pStyle w:val="Heading3"/>
      </w:pPr>
      <w:r>
        <w:t xml:space="preserve">2.3 The Special Envoy to Combat Antisemitism: the adopted document</w:t>
      </w:r>
    </w:p>
    <w:p>
      <w:pPr>
        <w:pStyle w:val="FirstParagraph"/>
      </w:pPr>
      <w:r>
        <w:t xml:space="preserve">Jillian Segal’s Plan to Combat Antisemitism, delivered in July 2025, is the shortest of the four documents in recommendation count — thirteen recommendations and forty-nine key actions</w:t>
      </w:r>
      <w:r>
        <w:rPr>
          <w:rStyle w:val="FootnoteReference"/>
        </w:rPr>
        <w:footnoteReference w:id="37"/>
      </w:r>
      <w:r>
        <w:t xml:space="preserve"> </w:t>
      </w:r>
      <w:r>
        <w:t xml:space="preserve">— and by a wide margin the most consequential in governmental uptake. Its theory of change is protective and, in significant part, coercive: antisemitism is framed as an acute threat to the safety of Jewish Australians and to national cohesion, demanding legal deterrence, institutional accountability and monitoring. The government formally adopted the Plan. Before and alongside that adoption it legislated against hate speech, hate crimes, hate symbols and doxxing; established the Antisemitism Education Taskforce spanning early childhood, schools and universities; committed to antisemitism-awareness training for immigration decision-makers; and foreshadowed ministerial powers to refuse visas to applicants who spread hatred — with the government response explicitly framing the Plan as a program of work to be led by the Envoy and implemented across Commonwealth, state and community levels.</w:t>
      </w:r>
      <w:r>
        <w:rPr>
          <w:rStyle w:val="FootnoteReference"/>
        </w:rPr>
        <w:footnoteReference w:id="38"/>
      </w:r>
    </w:p>
    <w:p>
      <w:pPr>
        <w:pStyle w:val="BodyText"/>
      </w:pPr>
      <w:r>
        <w:t xml:space="preserve">The Plan is also the most contested of the four documents. Its implicit adoption of the International Holocaust Remembrance Alliance working definition of antisemitism, its treatment of elements of Palestine solidarity activism as within the ambit of antisemitism, and its proposals bearing on universities drew public concern from the AHRC about implications for freedom of expression and institutional independence, criticism from civil society including anti-Zionist Jewish organisations, and a request from the Commission for a briefing on the human rights implications of the proposed reforms</w:t>
      </w:r>
      <w:r>
        <w:rPr>
          <w:rStyle w:val="FootnoteReference"/>
        </w:rPr>
        <w:footnoteReference w:id="39"/>
      </w:r>
      <w:r>
        <w:t xml:space="preserve">. It is important to state the position precisely: the Plan’s critics have contested specific instruments and the definitional regime, not the reality or seriousness of antisemitism, which the December 2025 attack placed beyond any argument. After the attack, the Plan’s trajectory steepened further: additional funding was announced, the legislative reform package was expanded, and the Royal Commission was established with terms of reference that place antisemitism — alone among forms of racism — under the apex form of Australian public inquiry.</w:t>
      </w:r>
    </w:p>
    <w:bookmarkEnd w:id="40"/>
    <w:bookmarkStart w:id="45" w:name="X2bd7244cca46cad600f6ed8867f78674e2b4bb3"/>
    <w:p>
      <w:pPr>
        <w:pStyle w:val="Heading3"/>
      </w:pPr>
      <w:r>
        <w:t xml:space="preserve">2.4 The Special Envoy to Combat Islamophobia: the considered document</w:t>
      </w:r>
    </w:p>
    <w:p>
      <w:pPr>
        <w:pStyle w:val="FirstParagraph"/>
      </w:pPr>
      <w:r>
        <w:t xml:space="preserve">Aftab Malik’s</w:t>
      </w:r>
      <w:r>
        <w:t xml:space="preserve"> </w:t>
      </w:r>
      <w:r>
        <w:rPr>
          <w:iCs/>
          <w:i/>
        </w:rPr>
        <w:t xml:space="preserve">A National Response to Islamophobia: A Strategic Framework for Inclusion, Safety and Prosperity</w:t>
      </w:r>
      <w:r>
        <w:t xml:space="preserve"> </w:t>
      </w:r>
      <w:r>
        <w:t xml:space="preserve">(September 2025) is the most extensively evidenced of the four documents and, in instrument choice, the Segal Plan’s methodological opposite. Grounded in hundreds of hours of community consultation, review by some thirty national and international experts, and data including the Islamophobia Register’s recorded 530 per cent increase in incidents over the twenty-one months following 7 October 2023</w:t>
      </w:r>
      <w:r>
        <w:rPr>
          <w:rStyle w:val="FootnoteReference"/>
        </w:rPr>
        <w:footnoteReference w:id="41"/>
      </w:r>
      <w:r>
        <w:t xml:space="preserve">, the report documents Islamophobia as pervasive at both interpersonal and structural levels — falling with particular weight on visibly Muslim women, and operating institutionally through security discourse, media framing and law-enforcement practice. Its fifty-four recommendations are deliberately non-punitive. Malik stated at the launch that the community’s guidance was for recognition, not retribution; the recommendations centre on education and curriculum reform, institutional and workplace change, media accountability, victim support, standardised data, and — structurally most ambitious — reform of the statutory definition of terrorism to remove the religious-motive element that has functionally racialised counter-terrorism, a proposal Malik has since pressed in a formal submission to the Independent National Security Legislation Monitor</w:t>
      </w:r>
      <w:r>
        <w:rPr>
          <w:rStyle w:val="FootnoteReference"/>
        </w:rPr>
        <w:footnoteReference w:id="42"/>
      </w:r>
      <w:r>
        <w:t xml:space="preserve">. Two further design choices are analytically significant. Malik declines to impose a definition of Islamophobia, acknowledging global contestation and proceeding on impact and prevalence instead. And he disaggregates: anti-Palestinian and anti-Arab racism are named as distinct though overlapping phenomena, warranting their own commission of inquiry alongside one into Islamophobia — a twin-inquiry proposal that implicitly rejects the conflation of religious, ethnic and political categories on all sides of the definitional wars.</w:t>
      </w:r>
    </w:p>
    <w:p>
      <w:pPr>
        <w:pStyle w:val="BodyText"/>
      </w:pPr>
      <w:r>
        <w:t xml:space="preserve">The report’s standing, however, is the weakest of the four. It was released with prime ministerial praise —</w:t>
      </w:r>
      <w:r>
        <w:t xml:space="preserve"> </w:t>
      </w:r>
      <w:r>
        <w:t xml:space="preserve">“</w:t>
      </w:r>
      <w:r>
        <w:t xml:space="preserve">a major contribution towards social inclusion</w:t>
      </w:r>
      <w:r>
        <w:t xml:space="preserve">”</w:t>
      </w:r>
      <w:r>
        <w:t xml:space="preserve"> </w:t>
      </w:r>
      <w:r>
        <w:t xml:space="preserve">— and the explicit framing that it was the Envoy’s independent report which government would examine</w:t>
      </w:r>
      <w:r>
        <w:t xml:space="preserve"> </w:t>
      </w:r>
      <w:r>
        <w:t xml:space="preserve">“</w:t>
      </w:r>
      <w:r>
        <w:t xml:space="preserve">in a considered way.</w:t>
      </w:r>
      <w:r>
        <w:t xml:space="preserve">”</w:t>
      </w:r>
      <w:r>
        <w:rPr>
          <w:rStyle w:val="FootnoteReference"/>
        </w:rPr>
        <w:footnoteReference w:id="43"/>
      </w:r>
      <w:r>
        <w:t xml:space="preserve"> </w:t>
      </w:r>
      <w:r>
        <w:t xml:space="preserve">No adoption, no formal response, no dedicated implementation funding, no taskforce. The asymmetry with the antisemitism response was raised at the launch press conference itself, both by journalists asking why government had legislated faster against hatred targeting other communities and by a questioner conveying the Muslim community’s perception that the Islamophobia envoy’s appointment risked being tokenistic. Ten months later, and seven months after the December attack redirected the entire national agenda toward antisemitism, that perception has hardened. It should be recorded plainly: nothing in the Muslim community’s grievance about asymmetric treatment depends on minimising the Hanukkah atrocity, and the responsible strands of that community have not done so. The grievance concerns the</w:t>
      </w:r>
      <w:r>
        <w:t xml:space="preserve"> </w:t>
      </w:r>
      <w:r>
        <w:rPr>
          <w:iCs/>
          <w:i/>
        </w:rPr>
        <w:t xml:space="preserve">pre-attack</w:t>
      </w:r>
      <w:r>
        <w:t xml:space="preserve"> </w:t>
      </w:r>
      <w:r>
        <w:t xml:space="preserve">pattern — Segal’s plan adopted in July 2025, Malik’s merely received in September 2025 — which the attack then amplified rather than created.</w:t>
      </w:r>
    </w:p>
    <w:p>
      <w:pPr>
        <w:pStyle w:val="BodyText"/>
      </w:pPr>
      <w:r>
        <w:t xml:space="preserve">The strategy must also be subjected to the same contestation analysis applied above to the Segal plan — a scrutiny largely absent from the published record, for the reasons set out in the methodological note, but required for symmetric treatment. Four grounds stand out. First, the decision not to define Islamophobia, defensible as a response to the definitional wars, leaves the concept’s boundaries to every implementing agency and advocate, and an undefined concept can stretch. The boundary questions an implementing system must answer — where Islamophobia ends and legitimate criticism of religious doctrine or practice begins; whether lawful action against extremism or antisemitism arising within Muslim institutions can be characterised as Islamophobic — are precisely the questions the strategy declines to settle. Second, the stretch is not hypothetical. When the Executive Council of Australian Jewry brought proceedings against the preacher Wissam Haddad over sermons delivered in Bankstown in November 2023, some Muslim community advocates characterised the action as Islamophobic. The Federal Court’s judgment in</w:t>
      </w:r>
      <w:r>
        <w:t xml:space="preserve"> </w:t>
      </w:r>
      <w:r>
        <w:rPr>
          <w:iCs/>
          <w:i/>
        </w:rPr>
        <w:t xml:space="preserve">Wertheim v Haddad</w:t>
      </w:r>
      <w:r>
        <w:t xml:space="preserve"> </w:t>
      </w:r>
      <w:r>
        <w:t xml:space="preserve">[2025] FCA 720 found the sermons conveyed imputations that were fundamentally racist and antisemitic, rejected the defence that they constituted good-faith religious teaching — expert witnesses on Islamic theology called by both sides agreed the tropes had no basis in Islamic scripture — and ordered their removal.</w:t>
      </w:r>
      <w:r>
        <w:rPr>
          <w:rStyle w:val="FootnoteReference"/>
        </w:rPr>
        <w:footnoteReference w:id="44"/>
      </w:r>
      <w:r>
        <w:t xml:space="preserve"> </w:t>
      </w:r>
      <w:r>
        <w:t xml:space="preserve">Enforcing the Racial Discrimination Act against antisemitic vilification is anti-racism in operation; describing that enforcement as Islamophobia is an application of the concept that its non-definition permits and that a serious national strategy should have foreclosed. Third, the terrorism-definition reform, whatever its merits as anti-racism policy, engages genuine national-security equities and cannot be adopted on community-relations grounds alone; the INSLM review is the correct venue, and the strategy’s treatment of the security trade-offs is thinner than its treatment of the discriminatory effects. Fourth, the twin-inquiry proposal, analytically well-founded in its disaggregation of Islamophobia from anti-Arab and anti-Palestinian racism, carries an institutional risk the report does not confront: multiplying community-specific inquiries may entrench the very competitive dynamic among targeted groups that a national framework should be dissolving. As with the Segal plan, these criticisms contest instruments and design choices, not the reality or gravity of Islamophobia, which the evidence base places beyond argument.</w:t>
      </w:r>
    </w:p>
    <w:bookmarkEnd w:id="45"/>
    <w:bookmarkStart w:id="46" w:name="the-standing-hierarchy"/>
    <w:p>
      <w:pPr>
        <w:pStyle w:val="Heading3"/>
      </w:pPr>
      <w:r>
        <w:t xml:space="preserve">2.5 The standing hierarchy</w:t>
      </w:r>
    </w:p>
    <w:p>
      <w:pPr>
        <w:pStyle w:val="FirstParagraph"/>
      </w:pPr>
      <w:r>
        <w:t xml:space="preserve">Setting the four documents side by side on the standing axis yields the following de facto hierarchy, which no policy statement has ever announced but which every community organisation can read:</w:t>
      </w:r>
    </w:p>
    <w:tbl>
      <w:tblPr>
        <w:tblStyle w:val="Table"/>
        <w:tblW w:type="pct" w:w="5000"/>
        <w:tblLook w:firstRow="1" w:lastRow="0" w:firstColumn="0" w:lastColumn="0" w:noHBand="0" w:noVBand="0" w:val="0020"/>
        <w:jc w:val="start"/>
      </w:tblPr>
      <w:tblGrid>
        <w:gridCol w:w="880"/>
        <w:gridCol w:w="1320"/>
        <w:gridCol w:w="1320"/>
        <w:gridCol w:w="1408"/>
        <w:gridCol w:w="1496"/>
        <w:gridCol w:w="1496"/>
      </w:tblGrid>
      <w:tr>
        <w:trPr>
          <w:tblHeader w:val="true"/>
        </w:trPr>
        <w:tc>
          <w:tcPr/>
          <w:p>
            <w:pPr>
              <w:pStyle w:val="Compact"/>
              <w:jc w:val="left"/>
            </w:pPr>
            <w:r>
              <w:t xml:space="preserve">Framework</w:t>
            </w:r>
          </w:p>
        </w:tc>
        <w:tc>
          <w:tcPr/>
          <w:p>
            <w:pPr>
              <w:pStyle w:val="Compact"/>
              <w:jc w:val="left"/>
            </w:pPr>
            <w:r>
              <w:t xml:space="preserve">Author status</w:t>
            </w:r>
          </w:p>
        </w:tc>
        <w:tc>
          <w:tcPr/>
          <w:p>
            <w:pPr>
              <w:pStyle w:val="Compact"/>
              <w:jc w:val="left"/>
            </w:pPr>
            <w:r>
              <w:t xml:space="preserve">Government response</w:t>
            </w:r>
          </w:p>
        </w:tc>
        <w:tc>
          <w:tcPr/>
          <w:p>
            <w:pPr>
              <w:pStyle w:val="Compact"/>
              <w:jc w:val="left"/>
            </w:pPr>
            <w:r>
              <w:t xml:space="preserve">Legislation</w:t>
            </w:r>
          </w:p>
        </w:tc>
        <w:tc>
          <w:tcPr/>
          <w:p>
            <w:pPr>
              <w:pStyle w:val="Compact"/>
              <w:jc w:val="left"/>
            </w:pPr>
            <w:r>
              <w:t xml:space="preserve">Dedicated funding</w:t>
            </w:r>
          </w:p>
        </w:tc>
        <w:tc>
          <w:tcPr/>
          <w:p>
            <w:pPr>
              <w:pStyle w:val="Compact"/>
              <w:jc w:val="left"/>
            </w:pPr>
            <w:r>
              <w:t xml:space="preserve">Machinery</w:t>
            </w:r>
          </w:p>
        </w:tc>
      </w:tr>
      <w:tr>
        <w:tc>
          <w:tcPr/>
          <w:p>
            <w:pPr>
              <w:pStyle w:val="Compact"/>
              <w:jc w:val="left"/>
            </w:pPr>
            <w:r>
              <w:t xml:space="preserve">Segal Plan (2025)</w:t>
            </w:r>
          </w:p>
        </w:tc>
        <w:tc>
          <w:tcPr/>
          <w:p>
            <w:pPr>
              <w:pStyle w:val="Compact"/>
              <w:jc w:val="left"/>
            </w:pPr>
            <w:r>
              <w:t xml:space="preserve">Non-statutory envoy</w:t>
            </w:r>
          </w:p>
        </w:tc>
        <w:tc>
          <w:tcPr/>
          <w:p>
            <w:pPr>
              <w:pStyle w:val="Compact"/>
              <w:jc w:val="left"/>
            </w:pPr>
            <w:r>
              <w:rPr>
                <w:bCs/>
                <w:b/>
              </w:rPr>
              <w:t xml:space="preserve">Adopted</w:t>
            </w:r>
          </w:p>
        </w:tc>
        <w:tc>
          <w:tcPr/>
          <w:p>
            <w:pPr>
              <w:pStyle w:val="Compact"/>
              <w:jc w:val="left"/>
            </w:pPr>
            <w:r>
              <w:t xml:space="preserve">Enacted (hate speech, crimes, symbols, doxxing) and expanding</w:t>
            </w:r>
          </w:p>
        </w:tc>
        <w:tc>
          <w:tcPr/>
          <w:p>
            <w:pPr>
              <w:pStyle w:val="Compact"/>
              <w:jc w:val="left"/>
            </w:pPr>
            <w:r>
              <w:t xml:space="preserve">Yes (taskforce, campaigns, post-Dec 2025 package)</w:t>
            </w:r>
          </w:p>
        </w:tc>
        <w:tc>
          <w:tcPr/>
          <w:p>
            <w:pPr>
              <w:pStyle w:val="Compact"/>
              <w:jc w:val="left"/>
            </w:pPr>
            <w:r>
              <w:t xml:space="preserve">Antisemitism Education Taskforce; envoy-led program; Royal Commission</w:t>
            </w:r>
          </w:p>
        </w:tc>
      </w:tr>
      <w:tr>
        <w:tc>
          <w:tcPr/>
          <w:p>
            <w:pPr>
              <w:pStyle w:val="Compact"/>
              <w:jc w:val="left"/>
            </w:pPr>
            <w:r>
              <w:t xml:space="preserve">NARF (2024)</w:t>
            </w:r>
          </w:p>
        </w:tc>
        <w:tc>
          <w:tcPr/>
          <w:p>
            <w:pPr>
              <w:pStyle w:val="Compact"/>
              <w:jc w:val="left"/>
            </w:pPr>
            <w:r>
              <w:t xml:space="preserve">Statutory commission</w:t>
            </w:r>
          </w:p>
        </w:tc>
        <w:tc>
          <w:tcPr/>
          <w:p>
            <w:pPr>
              <w:pStyle w:val="Compact"/>
              <w:jc w:val="left"/>
            </w:pPr>
            <w:r>
              <w:t xml:space="preserve">Received; no formal response</w:t>
            </w:r>
          </w:p>
        </w:tc>
        <w:tc>
          <w:tcPr/>
          <w:p>
            <w:pPr>
              <w:pStyle w:val="Compact"/>
              <w:jc w:val="left"/>
            </w:pPr>
            <w:r>
              <w:t xml:space="preserve">Positive duty not legislated</w:t>
            </w:r>
          </w:p>
        </w:tc>
        <w:tc>
          <w:tcPr/>
          <w:p>
            <w:pPr>
              <w:pStyle w:val="Compact"/>
              <w:jc w:val="left"/>
            </w:pPr>
            <w:r>
              <w:t xml:space="preserve">Development funded only</w:t>
            </w:r>
          </w:p>
        </w:tc>
        <w:tc>
          <w:tcPr/>
          <w:p>
            <w:pPr>
              <w:pStyle w:val="Compact"/>
              <w:jc w:val="left"/>
            </w:pPr>
            <w:r>
              <w:t xml:space="preserve">Proposed taskforce not established</w:t>
            </w:r>
          </w:p>
        </w:tc>
      </w:tr>
      <w:tr>
        <w:tc>
          <w:tcPr/>
          <w:p>
            <w:pPr>
              <w:pStyle w:val="Compact"/>
              <w:jc w:val="left"/>
            </w:pPr>
            <w:r>
              <w:t xml:space="preserve">MFR (2024)</w:t>
            </w:r>
          </w:p>
        </w:tc>
        <w:tc>
          <w:tcPr/>
          <w:p>
            <w:pPr>
              <w:pStyle w:val="Compact"/>
              <w:jc w:val="left"/>
            </w:pPr>
            <w:r>
              <w:t xml:space="preserve">Ministerial review panel</w:t>
            </w:r>
          </w:p>
        </w:tc>
        <w:tc>
          <w:tcPr/>
          <w:p>
            <w:pPr>
              <w:pStyle w:val="Compact"/>
              <w:jc w:val="left"/>
            </w:pPr>
            <w:r>
              <w:t xml:space="preserve">Welcomed;</w:t>
            </w:r>
            <w:r>
              <w:t xml:space="preserve"> </w:t>
            </w:r>
            <w:r>
              <w:t xml:space="preserve">“</w:t>
            </w:r>
            <w:r>
              <w:t xml:space="preserve">guided by</w:t>
            </w:r>
            <w:r>
              <w:t xml:space="preserve">”</w:t>
            </w:r>
            <w:r>
              <w:t xml:space="preserve"> </w:t>
            </w:r>
            <w:r>
              <w:t xml:space="preserve">principles</w:t>
            </w:r>
          </w:p>
        </w:tc>
        <w:tc>
          <w:tcPr/>
          <w:p>
            <w:pPr>
              <w:pStyle w:val="Compact"/>
              <w:jc w:val="left"/>
            </w:pPr>
            <w:r>
              <w:t xml:space="preserve">None</w:t>
            </w:r>
          </w:p>
        </w:tc>
        <w:tc>
          <w:tcPr/>
          <w:p>
            <w:pPr>
              <w:pStyle w:val="Compact"/>
              <w:jc w:val="left"/>
            </w:pPr>
            <w:r>
              <w:t xml:space="preserve">None dedicated</w:t>
            </w:r>
          </w:p>
        </w:tc>
        <w:tc>
          <w:tcPr/>
          <w:p>
            <w:pPr>
              <w:pStyle w:val="Compact"/>
              <w:jc w:val="left"/>
            </w:pPr>
            <w:r>
              <w:t xml:space="preserve">None</w:t>
            </w:r>
          </w:p>
        </w:tc>
      </w:tr>
      <w:tr>
        <w:tc>
          <w:tcPr/>
          <w:p>
            <w:pPr>
              <w:pStyle w:val="Compact"/>
              <w:jc w:val="left"/>
            </w:pPr>
            <w:r>
              <w:t xml:space="preserve">Malik Strategy (2025)</w:t>
            </w:r>
          </w:p>
        </w:tc>
        <w:tc>
          <w:tcPr/>
          <w:p>
            <w:pPr>
              <w:pStyle w:val="Compact"/>
              <w:jc w:val="left"/>
            </w:pPr>
            <w:r>
              <w:t xml:space="preserve">Non-statutory envoy</w:t>
            </w:r>
          </w:p>
        </w:tc>
        <w:tc>
          <w:tcPr/>
          <w:p>
            <w:pPr>
              <w:pStyle w:val="Compact"/>
              <w:jc w:val="left"/>
            </w:pPr>
            <w:r>
              <w:t xml:space="preserve">“</w:t>
            </w:r>
            <w:r>
              <w:t xml:space="preserve">Considered</w:t>
            </w:r>
            <w:r>
              <w:t xml:space="preserve">”</w:t>
            </w:r>
          </w:p>
        </w:tc>
        <w:tc>
          <w:tcPr/>
          <w:p>
            <w:pPr>
              <w:pStyle w:val="Compact"/>
              <w:jc w:val="left"/>
            </w:pPr>
            <w:r>
              <w:t xml:space="preserve">None</w:t>
            </w:r>
          </w:p>
        </w:tc>
        <w:tc>
          <w:tcPr/>
          <w:p>
            <w:pPr>
              <w:pStyle w:val="Compact"/>
              <w:jc w:val="left"/>
            </w:pPr>
            <w:r>
              <w:t xml:space="preserve">None announced at release</w:t>
            </w:r>
          </w:p>
        </w:tc>
        <w:tc>
          <w:tcPr/>
          <w:p>
            <w:pPr>
              <w:pStyle w:val="Compact"/>
              <w:jc w:val="left"/>
            </w:pPr>
            <w:r>
              <w:t xml:space="preserve">None</w:t>
            </w:r>
          </w:p>
        </w:tc>
      </w:tr>
    </w:tbl>
    <w:p>
      <w:pPr>
        <w:pStyle w:val="BodyText"/>
      </w:pPr>
      <w:r>
        <w:t xml:space="preserve">Two features of this table deserve emphasis. The first is the inversion already noted: statutory permanence (AHRC) has not translated into uptake, while a non-statutory ministerial appointment (Segal) has achieved legislative results — evidence that in this policy domain, standing is conferred by political salience and crisis, not by institutional form. The second is that the hierarchy is now self-reinforcing. Legislation ratchets: once hate-symbol offences and visa powers exist, they will not be repealed, and each subsequent crisis extends them. Advisory frameworks do not ratchet: NARF’s positive duty and Malik’s terrorism-definition reform can be deferred indefinitely at zero political cost. Left to its own dynamics, the system will therefore continue to diverge. That is the quandary in its precise form.</w:t>
      </w:r>
    </w:p>
    <w:bookmarkEnd w:id="46"/>
    <w:bookmarkEnd w:id="47"/>
    <w:bookmarkStart w:id="48" w:name="X120ea45dd318dd08c8231ad397230aaa0c56abd"/>
    <w:p>
      <w:pPr>
        <w:pStyle w:val="Heading2"/>
      </w:pPr>
      <w:r>
        <w:t xml:space="preserve">3. Common Ground: What the Frameworks Agree On</w:t>
      </w:r>
    </w:p>
    <w:p>
      <w:pPr>
        <w:pStyle w:val="FirstParagraph"/>
      </w:pPr>
      <w:r>
        <w:t xml:space="preserve">The incompatibilities analysed below should not obscure a genuinely substantial zone of agreement — one broad enough that a competent government could act on it tomorrow without adjudicating any of the contested questions.</w:t>
      </w:r>
    </w:p>
    <w:p>
      <w:pPr>
        <w:pStyle w:val="BodyText"/>
      </w:pPr>
      <w:r>
        <w:t xml:space="preserve">First, all four frameworks hold that racism, antisemitism and Islamophobia in Australia are real, prevalent and harmful, and all four ground that claim in consultation and evidence rather than assertion. The MFR found experiences of discrimination among the leading themes of its 1,400-plus consultations; NARF’s community evidence, including the FECCA study’s 860 participants, documented racism as entrenched across daily life, schooling, healthcare, employment and policing; Segal’s plan rests on the surge in recorded antisemitic incidents after October 2023; Malik’s on the Islamophobia Register’s 530 per cent increase over the same period. No Australian government document now denies the phenomenon; the argument is entirely about response.</w:t>
      </w:r>
    </w:p>
    <w:p>
      <w:pPr>
        <w:pStyle w:val="BodyText"/>
      </w:pPr>
      <w:r>
        <w:t xml:space="preserve">Second, all four locate a substantial part of the problem in institutions rather than in individual attitude alone. Even the MFR, the most institutionally optimistic document, frames its inclusion pillar around redesigning public services; NARF makes structural embeddedness its master claim; Segal targets universities, schools and immigration settings; Malik targets counter-terrorism law, policing practice and media systems. The intellectual victory of structural analysis over attitudinal analysis is, across these documents, complete — which makes the absence of the structural instrument par excellence, the positive duty, from the government’s legislative record all the more striking.</w:t>
      </w:r>
    </w:p>
    <w:p>
      <w:pPr>
        <w:pStyle w:val="BodyText"/>
      </w:pPr>
      <w:r>
        <w:t xml:space="preserve">Third, education is every framework’s primary preventive lever. The MFR treats schooling and cultural participation as the engine of belonging; NARF prescribes anti-racism curriculum content with First Nations colonisation history at its core, alongside teacher training; Segal’s most developed institutional creation is the Antisemitism Education Taskforce spanning early childhood to university; Malik’s headline recommendations include national curriculum review and countering the security-threat framing of Muslims in educational settings. The convergence extends to universities specifically, where the Racism@Uni findings supply a shared evidence base: racism affecting Jewish, Muslim, Palestinian, Middle Eastern and First Nations students documented within a single study.</w:t>
      </w:r>
    </w:p>
    <w:p>
      <w:pPr>
        <w:pStyle w:val="BodyText"/>
      </w:pPr>
      <w:r>
        <w:t xml:space="preserve">Fourth, all four identify media — traditional and digital — as a driver of prejudice and a site for reform: representation and independent multicultural media funding (MFR), regulation of reporting on negatively racialised communities and improved platform complaint mechanisms (NARF), monitoring and countering of antisemitic content (Segal), and accountability for the stereotyping and algorithmic amplification that Malik documents as a principal engine of anti-Muslim sentiment.</w:t>
      </w:r>
    </w:p>
    <w:p>
      <w:pPr>
        <w:pStyle w:val="BodyText"/>
      </w:pPr>
      <w:r>
        <w:t xml:space="preserve">Fifth, all four demand whole-of-government coordination across the three tiers, and all four diagnose the current arrangement as fragmentary — a diagnosis the AHRC’s 2026 assessment has since made official in describing Australian anti-racism as ad hoc and disjointed.</w:t>
      </w:r>
    </w:p>
    <w:p>
      <w:pPr>
        <w:pStyle w:val="BodyText"/>
      </w:pPr>
      <w:r>
        <w:t xml:space="preserve">Sixth, all four identify the data deficit: racism data in Australia is inconsistent, jurisdictionally fragmented and often community-collected without governmental standardisation. NARF’s Data Plan, Malik’s standardised reporting recommendations, Segal’s incident monitoring and the MFR’s accountability pillar all point to the same gap, and commentary since the Malik report has extended the logic toward a comprehensive national hate-crimes register covering all targeted attributes.</w:t>
      </w:r>
    </w:p>
    <w:p>
      <w:pPr>
        <w:pStyle w:val="BodyText"/>
      </w:pPr>
      <w:r>
        <w:t xml:space="preserve">Seventh — and least noticed — none of the four frameworks attacks multiculturalism itself. Even NARF, the most critical document, presupposes that a diverse Australia is worth defending; even Segal’s protective particularism is framed as defence of a multicultural society under strain. The frameworks also cite one another: Malik’s report and his subsequent national-security submission invoke NARF directly, and Sivaraman has publicly mapped the alignment between Segal’s education and media recommendations and the Framework’s. The raw material for synthesis exists in the documents themselves. What does not exist is the architecture.</w:t>
      </w:r>
    </w:p>
    <w:bookmarkEnd w:id="48"/>
    <w:bookmarkStart w:id="59" w:name="critical-differences"/>
    <w:p>
      <w:pPr>
        <w:pStyle w:val="Heading2"/>
      </w:pPr>
      <w:r>
        <w:t xml:space="preserve">4. Critical Differences</w:t>
      </w:r>
    </w:p>
    <w:p>
      <w:pPr>
        <w:pStyle w:val="FirstParagraph"/>
      </w:pPr>
      <w:r>
        <w:t xml:space="preserve">Six axes of difference structure the field. The first three are differences of emphasis that a coordination mechanism could manage. The last three are incompatibilities that no coordination mechanism can dissolve, because they embody opposed answers to prior questions.</w:t>
      </w:r>
    </w:p>
    <w:bookmarkStart w:id="49" w:name="universal-versus-particular"/>
    <w:p>
      <w:pPr>
        <w:pStyle w:val="Heading3"/>
      </w:pPr>
      <w:r>
        <w:t xml:space="preserve">4.1 Universal versus particular</w:t>
      </w:r>
    </w:p>
    <w:p>
      <w:pPr>
        <w:pStyle w:val="FirstParagraph"/>
      </w:pPr>
      <w:r>
        <w:t xml:space="preserve">The MFR and NARF are universal instruments: one framework for all communities, whether framed as multicultural inclusion or as anti-racism. The envoy reports are particular instruments: dedicated machinery for one community’s protection. The standard argument for universality is coherence and the avoidance of hierarchy among victims; the standard argument for particularity is that antisemitism and Islamophobia have distinct histories, tropes, threat profiles and community infrastructures that generic anti-racism flattens. The Racism@Uni evidence is instructive precisely because it supports both readings simultaneously: a single structural phenomenon (racism entrenched in university systems) manifesting in irreducibly particular forms (Jewish students’ experiences after October 2023 are not interchangeable with Palestinian students’, nor either with First Nations staff experiences). The policy conclusion this brief draws is that universality and particularity are reconcilable at the level of architecture — a universal framework can house particular programs — but only if the architecture exists. In its absence, particularity wins by default, because particular communities can mobilise and generic frameworks cannot.</w:t>
      </w:r>
    </w:p>
    <w:bookmarkEnd w:id="49"/>
    <w:bookmarkStart w:id="50" w:name="X155e042c45c74887881ec42d0403f36196d548a"/>
    <w:p>
      <w:pPr>
        <w:pStyle w:val="Heading3"/>
      </w:pPr>
      <w:r>
        <w:t xml:space="preserve">4.2 Punitive-exclusionary versus transformative-inclusionary instruments</w:t>
      </w:r>
    </w:p>
    <w:p>
      <w:pPr>
        <w:pStyle w:val="FirstParagraph"/>
      </w:pPr>
      <w:r>
        <w:t xml:space="preserve">Here the frameworks genuinely conflict. Segal’s toolkit includes criminal law, visa refusal for those who spread hatred, and institutional accountability mechanisms bearing on universities — instruments of deterrence and exclusion. Malik’s toolkit, at his community’s explicit direction, excludes retribution in favour of recognition, education, structural reform and the de-racialisation of counter-terrorism law. NARF’s positive duty is a third logic: neither punishment of individuals nor mere education, but enforceable institutional responsibility for prevention. The MFR’s participation logic is a fourth. These cannot simply be summed. A visa power exercised against ideological speech sits in direct tension with an inclusion framework; a positive duty regime presupposes that institutions, not border control, are the primary site of intervention; and — the practical crux — the same university cannot simultaneously operate Segal-derived speech accountability codes and Malik-derived free-expression protections without an explicit rule for which prevails when they collide. At present no such rule exists, and each institution is improvising its own, which is how the sector arrived at the litigation and controversy documented in the university inquiries of 2025–26.</w:t>
      </w:r>
    </w:p>
    <w:bookmarkEnd w:id="50"/>
    <w:bookmarkStart w:id="55" w:name="definition-as-the-fault-line"/>
    <w:p>
      <w:pPr>
        <w:pStyle w:val="Heading3"/>
      </w:pPr>
      <w:r>
        <w:t xml:space="preserve">4.3 Definition as the fault line</w:t>
      </w:r>
    </w:p>
    <w:p>
      <w:pPr>
        <w:pStyle w:val="FirstParagraph"/>
      </w:pPr>
      <w:r>
        <w:t xml:space="preserve">The deepest incompatibility is definitional, and it must be stated with its genealogy, because the genealogy explains why it will not be resolved by drafting. The IHRA working definition of antisemitism (2016) is the operative international standard: adopted or endorsed by more than forty governments including Australia (2021), embedded in virtually every national strategy to combat antisemitism, and adopted in adapted form by Universities Australia in February 2025</w:t>
      </w:r>
      <w:r>
        <w:rPr>
          <w:rStyle w:val="FootnoteReference"/>
        </w:rPr>
        <w:footnoteReference w:id="51"/>
      </w:r>
      <w:r>
        <w:t xml:space="preserve">. The Jerusalem Declaration on Antisemitism (2021), drafted by scholars of antisemitism to protect political speech about Israel while robustly defining anti-Jewish racism, is by comparison a scholarly counter-text with negligible governmental uptake</w:t>
      </w:r>
      <w:r>
        <w:rPr>
          <w:rStyle w:val="FootnoteReference"/>
        </w:rPr>
        <w:footnoteReference w:id="52"/>
      </w:r>
      <w:r>
        <w:t xml:space="preserve">. Any analysis that presents the two as rival standards of comparable standing misdescribes the field: on legitimacy conferred by adoption, there is no contest. The live question is narrower and more consequential — not</w:t>
      </w:r>
      <w:r>
        <w:t xml:space="preserve"> </w:t>
      </w:r>
      <w:r>
        <w:rPr>
          <w:iCs/>
          <w:i/>
        </w:rPr>
        <w:t xml:space="preserve">which</w:t>
      </w:r>
      <w:r>
        <w:t xml:space="preserve"> </w:t>
      </w:r>
      <w:r>
        <w:t xml:space="preserve">definition, but</w:t>
      </w:r>
      <w:r>
        <w:t xml:space="preserve"> </w:t>
      </w:r>
      <w:r>
        <w:rPr>
          <w:iCs/>
          <w:i/>
        </w:rPr>
        <w:t xml:space="preserve">what use</w:t>
      </w:r>
      <w:r>
        <w:t xml:space="preserve">. The IHRA text was drafted as a non-legally-binding working tool for monitoring and education, and its own lead drafter, Kenneth Stern, has repeatedly and publicly warned against codifying it in law and campus speech regimes, on the ground that its Israel-related examples would then operate to suppress protected political expression</w:t>
      </w:r>
      <w:r>
        <w:rPr>
          <w:rStyle w:val="FootnoteReference"/>
        </w:rPr>
        <w:footnoteReference w:id="53"/>
      </w:r>
      <w:r>
        <w:t xml:space="preserve">. That is the specific concern engaged by the Segal plan’s embedding of the definition in institutional practice, and it is the ground of the AHRC’s freedom-of-expression concerns and much of the civil-society contestation, including from Jewish organisations opposed to the conflation of Jewishness with support for Israeli state policy. It is a concern about codification, not about the definition’s existence or its educational value — and treating all opposition to codification as opposition to fighting antisemitism erases, among others, the definition’s own author. Malik, observing this battlefield, made the opposite choice: his report deliberately declines to define Islamophobia, proceeding on documented impact — a choice that purchases peace at the price of implementation precision, since fifty-four recommendations without a definition leave every implementing agency to draw its own boundaries, with the consequences documented in Section 2.4. NARF, meanwhile, recommends developing a nationally recognised definition of racism in general.</w:t>
      </w:r>
    </w:p>
    <w:p>
      <w:pPr>
        <w:pStyle w:val="BodyText"/>
      </w:pPr>
      <w:r>
        <w:t xml:space="preserve">Australian law has, in the meantime, demonstrated that the boundary can be policed case by case without statutory codification of any concept definition. In</w:t>
      </w:r>
      <w:r>
        <w:t xml:space="preserve"> </w:t>
      </w:r>
      <w:r>
        <w:rPr>
          <w:iCs/>
          <w:i/>
        </w:rPr>
        <w:t xml:space="preserve">Wertheim v Haddad</w:t>
      </w:r>
      <w:r>
        <w:t xml:space="preserve">, the Federal Court found antisemitic vilification proved and ordered its removal, while holding in terms that criticism of Israel, however inflammatory, is not by its nature antisemitic; that references to Zionism as a political ideology fell outside section 18C; and that where</w:t>
      </w:r>
      <w:r>
        <w:t xml:space="preserve"> </w:t>
      </w:r>
      <w:r>
        <w:t xml:space="preserve">“</w:t>
      </w:r>
      <w:r>
        <w:t xml:space="preserve">Zionist</w:t>
      </w:r>
      <w:r>
        <w:t xml:space="preserve">”</w:t>
      </w:r>
      <w:r>
        <w:t xml:space="preserve"> </w:t>
      </w:r>
      <w:r>
        <w:t xml:space="preserve">functions as a code word for Jews in general, the speech is antisemitic. One judgment thus drew, on evidence and context, precisely the distinctions that the IHRA and JDA texts contest wholesale — vindicating conduct-based law as the instrument that both condemns real antisemitism and preserves real political speech.</w:t>
      </w:r>
      <w:r>
        <w:rPr>
          <w:rStyle w:val="FootnoteReference"/>
        </w:rPr>
        <w:footnoteReference w:id="54"/>
      </w:r>
    </w:p>
    <w:p>
      <w:pPr>
        <w:pStyle w:val="BodyText"/>
      </w:pPr>
      <w:r>
        <w:t xml:space="preserve">The Commonwealth is therefore currently operating three definitional regimes at once: the internationally dominant but domestically contested IHRA definition for antisemitism, a deliberate non-definition for Islamophobia, and an aspirational future definition for racism as such. This is not pluralism; it is incoherence with distributive consequences, because definitional regimes determine what gets counted, prosecuted, funded and taught. Any pathway must decide the definitional question at the level of</w:t>
      </w:r>
      <w:r>
        <w:t xml:space="preserve"> </w:t>
      </w:r>
      <w:r>
        <w:rPr>
          <w:iCs/>
          <w:i/>
        </w:rPr>
        <w:t xml:space="preserve">system design</w:t>
      </w:r>
      <w:r>
        <w:t xml:space="preserve"> </w:t>
      </w:r>
      <w:r>
        <w:t xml:space="preserve">— either one regime for all forms of hatred, or explicitly separate regimes with a rule governing conflicts — rather than leaving it to accumulate case by case.</w:t>
      </w:r>
    </w:p>
    <w:bookmarkEnd w:id="55"/>
    <w:bookmarkStart w:id="56" w:name="first-nations-centrality"/>
    <w:p>
      <w:pPr>
        <w:pStyle w:val="Heading3"/>
      </w:pPr>
      <w:r>
        <w:t xml:space="preserve">4.4 First Nations centrality</w:t>
      </w:r>
    </w:p>
    <w:p>
      <w:pPr>
        <w:pStyle w:val="FirstParagraph"/>
      </w:pPr>
      <w:r>
        <w:t xml:space="preserve">NARF states as an overarching principle that First Peoples’ experiences must be central to all anti-racism action: colonisation is treated not as one historical injustice among several but as the foundational structure of Australian racism. The MFR positions First Nations traditions as one constitutive strand of a shared national identity alongside British institutions and migration — an inclusion framing that sits in quiet tension with a sovereignty framing. Both envoy reports acknowledge First Nations racism (Malik’s report does so with some force) without centring it, which is unsurprising given their mandates but consequential for any integration: a unified architecture must decide whether First Nations governance is a design principle of the whole system, as NARF requires, or one represented interest among several, as the pluralist logic of the envoy model implies. After the 2023 referendum defeat — which government itself cited in accelerating the anti-racism strategy — this question carries a political charge that policy documents have tended to handle by silence.</w:t>
      </w:r>
    </w:p>
    <w:bookmarkEnd w:id="56"/>
    <w:bookmarkStart w:id="57" w:name="X8534bc3bd5e739f64110c45213192c8d40b8b34"/>
    <w:p>
      <w:pPr>
        <w:pStyle w:val="Heading3"/>
      </w:pPr>
      <w:r>
        <w:t xml:space="preserve">4.5 Geopolitics: integrated, disaggregated or suppressed</w:t>
      </w:r>
    </w:p>
    <w:p>
      <w:pPr>
        <w:pStyle w:val="FirstParagraph"/>
      </w:pPr>
      <w:r>
        <w:t xml:space="preserve">The four frameworks take three different positions on whether the Israel–Palestine conflict belongs inside Australian anti-racism policy. Segal integrates: the post-October 2023 surge frames the plan, and elements of Palestine solidarity activism fall within its concern. Malik disaggregates: the Gaza war is acknowledged as the accelerant of the recorded surge in anti-Muslim incidents, but Islamophobia, anti-Arab racism and anti-Palestinian racism are held analytically distinct — hence the twin-inquiry proposal — and criticism of states is held apart from hatred of peoples. NARF and the MFR suppress: neither mentions the conflict, a silence which, given their drafting dates (well into the war), must be read as a deliberate strategy of depoliticisation rather than an oversight. Each position has a rationale, but they cannot coexist inside one implementation system, because the classification of a given campus protest, social-media post or visa applicant depends entirely on which position governs. The December 2025 attack has made the integrationist position politically dominant; the analytical case for Malik’s disaggregation remains, in this brief’s assessment, the strongest of the three, because it is the only position that can name every relevant harm — antisemitism, Islamophobia, anti-Arab and anti-Palestinian racism — without dissolving any of them into another.</w:t>
      </w:r>
    </w:p>
    <w:bookmarkEnd w:id="57"/>
    <w:bookmarkStart w:id="58" w:name="consultation-versus-agency"/>
    <w:p>
      <w:pPr>
        <w:pStyle w:val="Heading3"/>
      </w:pPr>
      <w:r>
        <w:t xml:space="preserve">4.6 Consultation versus agency</w:t>
      </w:r>
    </w:p>
    <w:p>
      <w:pPr>
        <w:pStyle w:val="FirstParagraph"/>
      </w:pPr>
      <w:r>
        <w:t xml:space="preserve">Finally, a difference that is really a finding about process. All four frameworks rest on exemplary consultation; the MFR’s was the most extensive ever conducted on Australian multiculturalism, and Malik’s community engagement directly shaped his instrument choices. Yet only one community has seen consultation convert into legislation and funded machinery. The lesson communities will draw — are drawing — is that consultation is what government offers when it does not intend to act, and that outcomes track political leverage rather than documented harm. This is corrosive in a specific way: it teaches every community that safety is secured by competitive mobilisation rather than by common citizenship, which is the precise opposite of social cohesion. Any pathway that leaves the consultation–agency gap unaddressed will reproduce the grievance regardless of its formal elegance.</w:t>
      </w:r>
    </w:p>
    <w:bookmarkEnd w:id="58"/>
    <w:bookmarkEnd w:id="59"/>
    <w:bookmarkStart w:id="60" w:name="Xe1c03e4291b25e058e55573c40fc5d398aeeed2"/>
    <w:p>
      <w:pPr>
        <w:pStyle w:val="Heading2"/>
      </w:pPr>
      <w:r>
        <w:t xml:space="preserve">5. The Deeper Quandary: Power, Not Coordination</w:t>
      </w:r>
    </w:p>
    <w:p>
      <w:pPr>
        <w:pStyle w:val="FirstParagraph"/>
      </w:pPr>
      <w:r>
        <w:t xml:space="preserve">It is now possible to state why the standard remedy — a coordination committee across the four frameworks — would fail, and what any adequate remedy must contain.</w:t>
      </w:r>
    </w:p>
    <w:p>
      <w:pPr>
        <w:pStyle w:val="BodyText"/>
      </w:pPr>
      <w:r>
        <w:t xml:space="preserve">The quandary is conventionally described as four overlapping frameworks lacking a reconciliation mechanism. Described that way, the solution writes itself: convene the actors, map the overlaps, negotiate the conflicts. But coordination presupposes parties of comparable standing, and Section 2.5 showed that the standing of the four frameworks is radically unequal — one adopted and legislated, one received without response, one welcomed in principle, one considered. A coordination table at which one party arrives with enacted statutes and a royal commission behind it, and another arrives with an unanswered report, is not a negotiation; it is a ratification ceremony. The problem is therefore prior to coordination. It is a problem of the distribution of institutional power among the frameworks and, through them, among the communities they serve.</w:t>
      </w:r>
    </w:p>
    <w:p>
      <w:pPr>
        <w:pStyle w:val="BodyText"/>
      </w:pPr>
      <w:r>
        <w:t xml:space="preserve">Three dynamics sustain the asymmetry. The first is the crisis ratchet. Legislative responses to atrocity are politically irreversible: no government will repeal hate-symbol offences or narrow visa powers, and each subsequent incident extends them. Advisory recommendations enjoy no such protection; they can be deferred at nil cost indefinitely. Since one framework operates through legislation and three through advice, the gap widens mechanically with every news cycle. The second is differential mobilisation capacity. This must be handled honestly. It is both true that Jewish communal institutions in Australia possess exceptional organisational capacity, long-standing relationships with government, and — after October 2023 and above all after December 2025 — an unanswerable moral claim on protection; and true that Muslim, Arab and Palestinian communities, larger in population, possess thinner peak infrastructure, weaker access, and a recent history of being engaged by the state primarily through the counter-terrorism lens that Malik’s report documents as itself a structural driver of Islamophobia. To attribute the policy asymmetry wholly to lobbying would be false and defamatory; to deny that mobilisation capacity shapes governmental attention would be naive. The accurate statement is that harm and capacity are independent variables, and the current system responds to their product rather than to harm alone. The third dynamic is the absence of any actor whose mandate is the</w:t>
      </w:r>
      <w:r>
        <w:t xml:space="preserve"> </w:t>
      </w:r>
      <w:r>
        <w:rPr>
          <w:iCs/>
          <w:i/>
        </w:rPr>
        <w:t xml:space="preserve">system</w:t>
      </w:r>
      <w:r>
        <w:t xml:space="preserve">. Each envoy is mandated for one community; the AHRC is mandated for rights generally but lacks uptake; the Office for Multicultural Affairs administers programs; no one owns the coherence of the whole. Incoherence persists because incoherence is no one’s failure.</w:t>
      </w:r>
    </w:p>
    <w:p>
      <w:pPr>
        <w:pStyle w:val="BodyText"/>
      </w:pPr>
      <w:r>
        <w:t xml:space="preserve">The Royal Commission is the wildcard that can break or entrench these dynamics. Its terms of reference couple the inquiry into antisemitism and the December attack with the strengthening of social cohesion in general. Read narrowly, that coupling produces a deeper particularism: cohesion as an instrument of antisemitism prevention, with the two-track system entrenched at royal-commission level. Read broadly, it produces the opposite: the Commission becomes the vehicle through which the response to the gravest antisemitic atrocity in Australian history establishes an architecture protecting every Australian, on the reasoning — which the evidence before it will support — that hatreds are ecologically connected, that the far-right and extremist milieus incubating antisemitic violence also incubate anti-Muslim and anti-immigrant violence (the Christchurch precedent stands one Tasman away), and that a hierarchy of protection is itself a solvent of cohesion. Which reading prevails in December 2026 is the single most consequential open question in this policy field, and government submissions and civil-society engagement with the Commission between now and then should be understood as the real arena in which the quandary will be resolved.</w:t>
      </w:r>
    </w:p>
    <w:p>
      <w:pPr>
        <w:pStyle w:val="BodyText"/>
      </w:pPr>
      <w:r>
        <w:t xml:space="preserve">Two pathway outcomes follow. They are constructed as genuine alternatives — internally coherent, each implementable — rather than as a straw option and a preferred option.</w:t>
      </w:r>
    </w:p>
    <w:bookmarkEnd w:id="60"/>
    <w:bookmarkStart w:id="62" w:name="pathway-one-statutory-integration"/>
    <w:p>
      <w:pPr>
        <w:pStyle w:val="Heading2"/>
      </w:pPr>
      <w:r>
        <w:t xml:space="preserve">6. Pathway One: Statutory Integration</w:t>
      </w:r>
    </w:p>
    <w:p>
      <w:pPr>
        <w:pStyle w:val="FirstParagraph"/>
      </w:pPr>
      <w:r>
        <w:rPr>
          <w:bCs/>
          <w:b/>
        </w:rPr>
        <w:t xml:space="preserve">Logic.</w:t>
      </w:r>
      <w:r>
        <w:t xml:space="preserve"> </w:t>
      </w:r>
      <w:r>
        <w:t xml:space="preserve">End the standing asymmetry by placing all responses to racism and group hatred inside a single legislated architecture, within which particular programs for particular communities operate as components rather than competitors.</w:t>
      </w:r>
    </w:p>
    <w:p>
      <w:pPr>
        <w:pStyle w:val="BodyText"/>
      </w:pPr>
      <w:r>
        <w:rPr>
          <w:bCs/>
          <w:b/>
        </w:rPr>
        <w:t xml:space="preserve">Architecture.</w:t>
      </w:r>
      <w:r>
        <w:t xml:space="preserve"> </w:t>
      </w:r>
      <w:r>
        <w:t xml:space="preserve">The pathway has six elements.</w:t>
      </w:r>
    </w:p>
    <w:p>
      <w:pPr>
        <w:pStyle w:val="BodyText"/>
      </w:pPr>
      <w:r>
        <w:rPr>
          <w:iCs/>
          <w:i/>
        </w:rPr>
        <w:t xml:space="preserve">First, framework legislation: a Multicultural Australia Act.</w:t>
      </w:r>
      <w:r>
        <w:t xml:space="preserve"> </w:t>
      </w:r>
      <w:r>
        <w:t xml:space="preserve">The Commonwealth remains, unlike Victoria and several other jurisdictions, without statutory foundation for multiculturalism</w:t>
      </w:r>
      <w:r>
        <w:rPr>
          <w:rStyle w:val="FootnoteReference"/>
        </w:rPr>
        <w:footnoteReference w:id="61"/>
      </w:r>
      <w:r>
        <w:t xml:space="preserve">. An Act would give legislative form to the MFR’s principles — recognition of Australia’s multicultural character on First Nations foundations, obligations of access and equity on Commonwealth agencies, reporting and accountability machinery — and, critically, would create the statutory shell within which the remaining elements sit. The MFR supplies the legitimated content; the Act supplies the permanence that</w:t>
      </w:r>
      <w:r>
        <w:t xml:space="preserve"> </w:t>
      </w:r>
      <w:r>
        <w:t xml:space="preserve">“</w:t>
      </w:r>
      <w:r>
        <w:t xml:space="preserve">guided by the principles</w:t>
      </w:r>
      <w:r>
        <w:t xml:space="preserve">”</w:t>
      </w:r>
      <w:r>
        <w:t xml:space="preserve"> </w:t>
      </w:r>
      <w:r>
        <w:t xml:space="preserve">does not. This element aligns with, and is reinforced by, the standing recommendation for a statutory Multicultural Act advanced in submissions to the Royal Commission.</w:t>
      </w:r>
    </w:p>
    <w:p>
      <w:pPr>
        <w:pStyle w:val="BodyText"/>
      </w:pPr>
      <w:r>
        <w:rPr>
          <w:iCs/>
          <w:i/>
        </w:rPr>
        <w:t xml:space="preserve">Second, the National Anti-Racism Framework as the operational spine.</w:t>
      </w:r>
      <w:r>
        <w:t xml:space="preserve"> </w:t>
      </w:r>
      <w:r>
        <w:t xml:space="preserve">Government issues a formal response adopting NARF, establishes the National Anti-Racism Taskforce under the Act with a mandate spanning all forms of racism and religious hatred, and funds the National Anti-Racism Data Plan with disaggregation by hate form — antisemitism, Islamophobia, anti-Arab, anti-Palestinian, anti-Asian, anti-Black and anti-First Nations racism each counted, so that universal architecture does not mean statistical erasure of particular harms.</w:t>
      </w:r>
    </w:p>
    <w:p>
      <w:pPr>
        <w:pStyle w:val="BodyText"/>
      </w:pPr>
      <w:r>
        <w:rPr>
          <w:iCs/>
          <w:i/>
        </w:rPr>
        <w:t xml:space="preserve">Third, the positive duty as the unifying legal mechanism.</w:t>
      </w:r>
      <w:r>
        <w:t xml:space="preserve"> </w:t>
      </w:r>
      <w:r>
        <w:t xml:space="preserve">Amending the Racial Discrimination Act to require organisations to take reasonable and proportionate preventive measures is the one instrument that protects every targeted group symmetrically, operates on institutions rather than on speech, and — as Sivaraman has argued in engaging with the Segal plan — would deliver much of what the envoy reports seek without the rights costs of speech-restrictive and exclusionary tools. Under this pathway the positive duty, not the visa power, becomes the workhorse of institutional accountability, including in universities, where it would require systematic prevention of antisemitism, Islamophobia and anti-Palestinian racism alike, superseding the improvised codes of 2024–26.</w:t>
      </w:r>
    </w:p>
    <w:p>
      <w:pPr>
        <w:pStyle w:val="BodyText"/>
      </w:pPr>
      <w:r>
        <w:rPr>
          <w:iCs/>
          <w:i/>
        </w:rPr>
        <w:t xml:space="preserve">Fourth, conversion of the envoys into statutory commissioners.</w:t>
      </w:r>
      <w:r>
        <w:t xml:space="preserve"> </w:t>
      </w:r>
      <w:r>
        <w:t xml:space="preserve">The envoy model’s weakness is exposed by its own success: non-statutory, ministerially appointed, terminating with political attention. Under the Act, a Commissioner for Combating Antisemitism and a Commissioner for Combating Islamophobia and Anti-Arab Racism (the compound title following Malik’s disaggregation) would hold identical statutory status, identical reporting lines, and funded implementation offices, located either within the AHRC or as associated statutory officers under the Taskforce. Particular expertise is preserved; asymmetric standing is abolished by design.</w:t>
      </w:r>
    </w:p>
    <w:p>
      <w:pPr>
        <w:pStyle w:val="BodyText"/>
      </w:pPr>
      <w:r>
        <w:rPr>
          <w:iCs/>
          <w:i/>
        </w:rPr>
        <w:t xml:space="preserve">Fifth, First Nations co-governance.</w:t>
      </w:r>
      <w:r>
        <w:t xml:space="preserve"> </w:t>
      </w:r>
      <w:r>
        <w:t xml:space="preserve">Following NARF, First Nations representation co-chairs the Taskforce, the cultural-safety definition is developed in partnership with the Coalition of Peaks, and the Act’s objects clause grounds multicultural Australia on First Nations foundations. Centrality is thus built into the architecture rather than asserted in preambles.</w:t>
      </w:r>
    </w:p>
    <w:p>
      <w:pPr>
        <w:pStyle w:val="BodyText"/>
      </w:pPr>
      <w:r>
        <w:rPr>
          <w:iCs/>
          <w:i/>
        </w:rPr>
        <w:t xml:space="preserve">Sixth, structural de-racialisation measures.</w:t>
      </w:r>
      <w:r>
        <w:t xml:space="preserve"> </w:t>
      </w:r>
      <w:r>
        <w:t xml:space="preserve">The Act’s first work program adopts the strongest structural recommendations of the particular reports as universal reforms: Malik’s terrorism-definition amendment (removing the religious-motive element in favour of a purpose-based definition, consistent with the INSLM review now under way); a national hate-incident register covering all protected attributes; and the education content of both envoy reports integrated into a single curriculum framework alongside NARF’s First Nations content — one national anti-racism curriculum with dedicated antisemitism, Islamophobia and colonisation modules, rather than three competing taskforce products.</w:t>
      </w:r>
    </w:p>
    <w:p>
      <w:pPr>
        <w:pStyle w:val="BodyText"/>
      </w:pPr>
      <w:r>
        <w:rPr>
          <w:bCs/>
          <w:b/>
        </w:rPr>
        <w:t xml:space="preserve">Definitional regime.</w:t>
      </w:r>
      <w:r>
        <w:t xml:space="preserve"> </w:t>
      </w:r>
      <w:r>
        <w:t xml:space="preserve">Pathway One requires a single-system answer to Section 4.3. The workable formula — consistent with the warnings of the IHRA definition’s own lead drafter against statutory codification — is statutory definition of the</w:t>
      </w:r>
      <w:r>
        <w:t xml:space="preserve"> </w:t>
      </w:r>
      <w:r>
        <w:rPr>
          <w:iCs/>
          <w:i/>
        </w:rPr>
        <w:t xml:space="preserve">conduct</w:t>
      </w:r>
      <w:r>
        <w:t xml:space="preserve"> </w:t>
      </w:r>
      <w:r>
        <w:t xml:space="preserve">(vilification, discrimination, incitement, hate-motivated crime, on grounds including race, ethnicity and religion) while leaving the contested</w:t>
      </w:r>
      <w:r>
        <w:t xml:space="preserve"> </w:t>
      </w:r>
      <w:r>
        <w:rPr>
          <w:iCs/>
          <w:i/>
        </w:rPr>
        <w:t xml:space="preserve">concept</w:t>
      </w:r>
      <w:r>
        <w:t xml:space="preserve"> </w:t>
      </w:r>
      <w:r>
        <w:t xml:space="preserve">definitions to non-binding educational guidance, where the IHRA definition can continue to serve the monitoring, training and awareness purposes for which it was designed. Conduct-based drafting is how Australian discrimination law has always avoided theological questions; it is the approach vindicated in</w:t>
      </w:r>
      <w:r>
        <w:t xml:space="preserve"> </w:t>
      </w:r>
      <w:r>
        <w:rPr>
          <w:iCs/>
          <w:i/>
        </w:rPr>
        <w:t xml:space="preserve">Wertheim v Haddad</w:t>
      </w:r>
      <w:r>
        <w:t xml:space="preserve">, where existing law proved capable of condemning antisemitic vilification while expressly preserving political criticism of Israel; and it is the only drafting that both envoy constituencies could live under.</w:t>
      </w:r>
    </w:p>
    <w:p>
      <w:pPr>
        <w:pStyle w:val="BodyText"/>
      </w:pPr>
      <w:r>
        <w:rPr>
          <w:bCs/>
          <w:b/>
        </w:rPr>
        <w:t xml:space="preserve">Strengths.</w:t>
      </w:r>
      <w:r>
        <w:t xml:space="preserve"> </w:t>
      </w:r>
      <w:r>
        <w:t xml:space="preserve">Coherence; symmetry of protection; rights compatibility (institutions regulated, speech largely untouched); First Nations centrality honoured; a legislative vehicle ready to hand in the government’s response to the Royal Commission’s December 2026 report; and durability — statute survives changes of envoy, minister and news cycle.</w:t>
      </w:r>
    </w:p>
    <w:p>
      <w:pPr>
        <w:pStyle w:val="BodyText"/>
      </w:pPr>
      <w:r>
        <w:rPr>
          <w:bCs/>
          <w:b/>
        </w:rPr>
        <w:t xml:space="preserve">Weaknesses and risks.</w:t>
      </w:r>
      <w:r>
        <w:t xml:space="preserve"> </w:t>
      </w:r>
      <w:r>
        <w:t xml:space="preserve">The pathway asks government to fold an antisemitism agenda backed by a royal commission and born of a massacre into a general framework, and asks the Jewish community to accept the conversion of its adopted plan into one component of a universal system, thirteen months after fifteen of its members were murdered. However carefully designed, this will be experienced by some as downgrading, and will be represented politically as such. It also asks a great deal of the AHRC, whose political traction to date has not matched its statutory standing, and it stakes everything on a broad reading of the Royal Commission’s remit that the Commission may not adopt. Feasibility is accordingly rated moderate: achievable only if the Royal Commission’s final report itself recommends universal architecture — which is precisely why submissions arguing that case matter now.</w:t>
      </w:r>
    </w:p>
    <w:bookmarkEnd w:id="62"/>
    <w:bookmarkStart w:id="63" w:name="pathway-two-the-pluralist-parity-compact"/>
    <w:p>
      <w:pPr>
        <w:pStyle w:val="Heading2"/>
      </w:pPr>
      <w:r>
        <w:t xml:space="preserve">7. Pathway Two: The Pluralist Parity Compact</w:t>
      </w:r>
    </w:p>
    <w:p>
      <w:pPr>
        <w:pStyle w:val="FirstParagraph"/>
      </w:pPr>
      <w:r>
        <w:rPr>
          <w:bCs/>
          <w:b/>
        </w:rPr>
        <w:t xml:space="preserve">Logic.</w:t>
      </w:r>
      <w:r>
        <w:t xml:space="preserve"> </w:t>
      </w:r>
      <w:r>
        <w:t xml:space="preserve">Accept the political reality that distinct communities have secured, and will retain, distinct instruments; abandon integration; and instead bind the plural instruments together with enforceable rules of parity, so that pluralism ceases to mean hierarchy.</w:t>
      </w:r>
    </w:p>
    <w:p>
      <w:pPr>
        <w:pStyle w:val="BodyText"/>
      </w:pPr>
      <w:r>
        <w:rPr>
          <w:bCs/>
          <w:b/>
        </w:rPr>
        <w:t xml:space="preserve">Architecture.</w:t>
      </w:r>
      <w:r>
        <w:t xml:space="preserve"> </w:t>
      </w:r>
      <w:r>
        <w:t xml:space="preserve">Five elements.</w:t>
      </w:r>
    </w:p>
    <w:p>
      <w:pPr>
        <w:pStyle w:val="BodyText"/>
      </w:pPr>
      <w:r>
        <w:rPr>
          <w:iCs/>
          <w:i/>
        </w:rPr>
        <w:t xml:space="preserve">First, a statutory parity rule.</w:t>
      </w:r>
      <w:r>
        <w:t xml:space="preserve"> </w:t>
      </w:r>
      <w:r>
        <w:t xml:space="preserve">Legislation (or, minimally, a published Cabinet-endorsed compact) providing that measures protecting any community from group hatred must be matched by equivalent protection for other targeted communities: equivalence of legal protection (offences and civil protections drafted attribute-neutrally); equivalence of institutional status (if one envoy, both envoys; if one is statutory, both are; if one has an implementation office, both do); and funding proportionality benchmarked to documented harm as measured by the national data system rather than by advocacy success. The parity rule converts the asymmetry documented in Section 2.5 from an accumulating grievance into a correctable breach.</w:t>
      </w:r>
    </w:p>
    <w:p>
      <w:pPr>
        <w:pStyle w:val="BodyText"/>
      </w:pPr>
      <w:r>
        <w:rPr>
          <w:iCs/>
          <w:i/>
        </w:rPr>
        <w:t xml:space="preserve">Second, immediate parity corrections.</w:t>
      </w:r>
      <w:r>
        <w:t xml:space="preserve"> </w:t>
      </w:r>
      <w:r>
        <w:t xml:space="preserve">A formal government response to the Malik report within a defined period; establishment and funding of an Office of the Special Envoy to Combat Islamophobia implementation program equivalent to the antisemitism program; equivalent education taskforce or an expanded joint one; and the twin commissions of inquiry Malik proposed (into Islamophobia, and into anti-Arab and anti-Palestinian racism) or their functional equivalent through references to the AHRC.</w:t>
      </w:r>
    </w:p>
    <w:p>
      <w:pPr>
        <w:pStyle w:val="BodyText"/>
      </w:pPr>
      <w:r>
        <w:rPr>
          <w:iCs/>
          <w:i/>
        </w:rPr>
        <w:t xml:space="preserve">Third, a National Social Cohesion Council.</w:t>
      </w:r>
      <w:r>
        <w:t xml:space="preserve"> </w:t>
      </w:r>
      <w:r>
        <w:t xml:space="preserve">Standing machinery chaired at Prime Minister and Cabinet level — not Home Affairs, whose security framing is itself contested by one of the frameworks — comprising both envoys/commissioners, the Race Discrimination Commissioner, First Nations representation, the Office for Multicultural Affairs, and rotating community and state representation. Unlike the failed coordination models, the Council has three hard functions: administering the parity rule; operating an explicit conflict-escalation procedure (framework conflicts — for instance, a proposed speech-accountability measure engaging free-expression protections — are lodged, heard on published criteria, and determined, with ministerial decision as the final tier and reasons published); and producing a mandatory annual Parity and Cohesion Report to Parliament disclosing funding, legislative and institutional treatment of each targeted community against measured harm.</w:t>
      </w:r>
    </w:p>
    <w:p>
      <w:pPr>
        <w:pStyle w:val="BodyText"/>
      </w:pPr>
      <w:r>
        <w:rPr>
          <w:iCs/>
          <w:i/>
        </w:rPr>
        <w:t xml:space="preserve">Fourth, definitional pluralism with a conflict rule.</w:t>
      </w:r>
      <w:r>
        <w:t xml:space="preserve"> </w:t>
      </w:r>
      <w:r>
        <w:t xml:space="preserve">Each program retains its own definitional approach — IHRA-informed practice in antisemitism programs, impact-based practice in Islamophobia programs — but a single conflict rule governs shared institutions such as universities and broadcasters: where definitional regimes collide, the conduct-based standards of general discrimination and vilification law prevail. This preserves community ownership of concepts while preventing institutions from being subject to contradictory binding definitions.</w:t>
      </w:r>
    </w:p>
    <w:p>
      <w:pPr>
        <w:pStyle w:val="BodyText"/>
      </w:pPr>
      <w:r>
        <w:rPr>
          <w:iCs/>
          <w:i/>
        </w:rPr>
        <w:t xml:space="preserve">Fifth, sunset and review.</w:t>
      </w:r>
      <w:r>
        <w:t xml:space="preserve"> </w:t>
      </w:r>
      <w:r>
        <w:t xml:space="preserve">Envoy/commissioner offices and the compact itself sunset at five years subject to independent review, forcing periodic re-justification and preserving the option of migrating to integrated architecture once trust has been rebuilt.</w:t>
      </w:r>
    </w:p>
    <w:p>
      <w:pPr>
        <w:pStyle w:val="BodyText"/>
      </w:pPr>
      <w:r>
        <w:rPr>
          <w:bCs/>
          <w:b/>
        </w:rPr>
        <w:t xml:space="preserve">Strengths.</w:t>
      </w:r>
      <w:r>
        <w:t xml:space="preserve"> </w:t>
      </w:r>
      <w:r>
        <w:t xml:space="preserve">Political feasibility is high: nothing already legislated is repealed, no community’s instrument is subordinated, and government can present the compact as levelling up rather than levelling down. Community agency is respected; the consultation–agency gap is closed for the communities currently outside the legislative circle; and the escalation procedure supplies what every previous coordination proposal lacked — a decision rule with published reasons.</w:t>
      </w:r>
    </w:p>
    <w:p>
      <w:pPr>
        <w:pStyle w:val="BodyText"/>
      </w:pPr>
      <w:r>
        <w:rPr>
          <w:bCs/>
          <w:b/>
        </w:rPr>
        <w:t xml:space="preserve">Weaknesses and risks.</w:t>
      </w:r>
      <w:r>
        <w:t xml:space="preserve"> </w:t>
      </w:r>
      <w:r>
        <w:t xml:space="preserve">The compact institutionalises the communal segmentation of Australian anti-racism policy, making the state a permanent adjudicator of comparative treatment and arguably entrenching the competitive mobilisation dynamic identified in Section 5 — parity administered is still rivalry organised. Parity metrics are genuinely contestable (harm measured how? funding counted over what baseline?), and the annual report could become an annual grievance generator. First Nations centrality fits awkwardly: NARF’s design principle is reduced to a seat at a council of communities, which its authors would rightly resist. And the pathway does nothing for the general population not organised into protected communities, leaving the MFR’s universal belonging agenda still without a vehicle.</w:t>
      </w:r>
    </w:p>
    <w:bookmarkEnd w:id="63"/>
    <w:bookmarkStart w:id="64" w:name="assessment-choosing-between-the-pathways"/>
    <w:p>
      <w:pPr>
        <w:pStyle w:val="Heading2"/>
      </w:pPr>
      <w:r>
        <w:t xml:space="preserve">8. Assessment: Choosing Between the Pathways</w:t>
      </w:r>
    </w:p>
    <w:p>
      <w:pPr>
        <w:pStyle w:val="FirstParagraph"/>
      </w:pPr>
      <w:r>
        <w:t xml:space="preserve">The two pathways answer the quandary’s two component problems in opposite orders. Pathway One solves coherence first and trusts that symmetry of design will, over time, repair trust; Pathway Two solves trust first and defers coherence, gambling that parity administered fairly will eventually make integration possible or unnecessary. Their comparative performance can be summarised against six criteria.</w:t>
      </w:r>
    </w:p>
    <w:p>
      <w:pPr>
        <w:pStyle w:val="BodyText"/>
      </w:pPr>
      <w:r>
        <w:t xml:space="preserve">On</w:t>
      </w:r>
      <w:r>
        <w:t xml:space="preserve"> </w:t>
      </w:r>
      <w:r>
        <w:rPr>
          <w:iCs/>
          <w:i/>
        </w:rPr>
        <w:t xml:space="preserve">coherence</w:t>
      </w:r>
      <w:r>
        <w:t xml:space="preserve">, Pathway One is decisively superior: one Act, one taskforce, one data system, one definitional regime for binding purposes. Pathway Two accepts permanent plural regimes disciplined by a conflict rule — coherence at the joints only. On</w:t>
      </w:r>
      <w:r>
        <w:t xml:space="preserve"> </w:t>
      </w:r>
      <w:r>
        <w:rPr>
          <w:iCs/>
          <w:i/>
        </w:rPr>
        <w:t xml:space="preserve">rights protection</w:t>
      </w:r>
      <w:r>
        <w:t xml:space="preserve">, Pathway One again leads, because it substitutes the positive duty for speech-restrictive and exclusionary instruments, meeting the concerns the AHRC has raised; Pathway Two leaves the adopted coercive instruments in place and merely extends equivalent ones to other communities, which multiplies rather than resolves the rights questions. On</w:t>
      </w:r>
      <w:r>
        <w:t xml:space="preserve"> </w:t>
      </w:r>
      <w:r>
        <w:rPr>
          <w:iCs/>
          <w:i/>
        </w:rPr>
        <w:t xml:space="preserve">First Nations centrality</w:t>
      </w:r>
      <w:r>
        <w:t xml:space="preserve">, only Pathway One can honour NARF’s design principle; Pathway Two structurally demotes it. On</w:t>
      </w:r>
      <w:r>
        <w:t xml:space="preserve"> </w:t>
      </w:r>
      <w:r>
        <w:rPr>
          <w:iCs/>
          <w:i/>
        </w:rPr>
        <w:t xml:space="preserve">community trust</w:t>
      </w:r>
      <w:r>
        <w:t xml:space="preserve">, the ranking reverses: Pathway Two delivers visible correction to the Muslim, Arab and multicultural communities within months, while Pathway One asks the Jewish community to accept architectural change in the shadow of the December attack and asks other communities to wait for statute. On</w:t>
      </w:r>
      <w:r>
        <w:t xml:space="preserve"> </w:t>
      </w:r>
      <w:r>
        <w:rPr>
          <w:iCs/>
          <w:i/>
        </w:rPr>
        <w:t xml:space="preserve">political feasibility</w:t>
      </w:r>
      <w:r>
        <w:t xml:space="preserve">, Pathway Two is plainly stronger in the near term; Pathway One is hostage to the Royal Commission’s reading of its own remit. On</w:t>
      </w:r>
      <w:r>
        <w:t xml:space="preserve"> </w:t>
      </w:r>
      <w:r>
        <w:rPr>
          <w:iCs/>
          <w:i/>
        </w:rPr>
        <w:t xml:space="preserve">resilience to bad faith</w:t>
      </w:r>
      <w:r>
        <w:t xml:space="preserve"> </w:t>
      </w:r>
      <w:r>
        <w:t xml:space="preserve">— the criterion most analyses omit — Pathway One is more robust: statute constrains a future government minded to cherry-pick, whereas a compact and council can be quietly starved. A government that wants only the appearance of resolution will choose Pathway Two and underfund it; this is the pathway’s characteristic failure mode and should be named in advance.</w:t>
      </w:r>
    </w:p>
    <w:p>
      <w:pPr>
        <w:pStyle w:val="BodyText"/>
      </w:pPr>
      <w:r>
        <w:t xml:space="preserve">The assessment yields no dominant option, which is the honest finding: the pathways trade coherence and durability against trust and speed. It also yields the observation that the trade-off is time-structured. The trust deficit is acute now and worsening monthly; the legislative opportunity matures in December 2026 and not before. That structure points to sequencing rather than choice.</w:t>
      </w:r>
    </w:p>
    <w:bookmarkEnd w:id="64"/>
    <w:bookmarkStart w:id="65" w:name="recommendation-a-sequenced-hybrid"/>
    <w:p>
      <w:pPr>
        <w:pStyle w:val="Heading2"/>
      </w:pPr>
      <w:r>
        <w:t xml:space="preserve">9. Recommendation: A Sequenced Hybrid</w:t>
      </w:r>
    </w:p>
    <w:p>
      <w:pPr>
        <w:pStyle w:val="FirstParagraph"/>
      </w:pPr>
      <w:r>
        <w:t xml:space="preserve">The recommended pathway implements Pathway Two’s parity corrections immediately as the bridge to Pathway One’s statutory integration, with the Royal Commission’s final report as the pivot.</w:t>
      </w:r>
    </w:p>
    <w:p>
      <w:pPr>
        <w:pStyle w:val="BodyText"/>
      </w:pPr>
      <w:r>
        <w:rPr>
          <w:bCs/>
          <w:b/>
        </w:rPr>
        <w:t xml:space="preserve">Phase One (now to December 2026): parity and preparation.</w:t>
      </w:r>
      <w:r>
        <w:t xml:space="preserve"> </w:t>
      </w:r>
      <w:r>
        <w:t xml:space="preserve">Government should, first, issue a formal response to the Malik report — the continuing absence of one is now the single most legible symbol of the two-track system — accompanied by a funded implementation program and equivalent institutional status for the Islamophobia envoy’s office. Second, it should respond formally to the National Anti-Racism Framework and establish the Anti-Racism Taskforce on an interim administrative basis, so that the coordination machinery exists before the legislative moment rather than being invented within it. Third, it should commission the drafting of the positive duty amendment and the conduct-based hate-conduct provisions, so that instruments are ready. Fourth — and this falls to civil society and the research community as much as to government — submissions to the Royal Commission should press the broad reading of its social-cohesion remit: that the fitting memorial to the victims of December 2025 is an architecture in which no Australian community’s safety depends on its capacity to mobilise. The interim report’s framing suggests the Commission is open to this reading; it is not yet committed to it.</w:t>
      </w:r>
    </w:p>
    <w:p>
      <w:pPr>
        <w:pStyle w:val="BodyText"/>
      </w:pPr>
      <w:r>
        <w:rPr>
          <w:bCs/>
          <w:b/>
        </w:rPr>
        <w:t xml:space="preserve">Phase Two (from December 2026): statutory integration.</w:t>
      </w:r>
      <w:r>
        <w:t xml:space="preserve"> </w:t>
      </w:r>
      <w:r>
        <w:t xml:space="preserve">The government response to the Royal Commission’s final report becomes the vehicle for the Multicultural Australia Act: framework legislation on First Nations foundations; NARF adopted as the operational spine with the Taskforce and Data Plan placed on statutory footing; the positive duty enacted; both envoys converted to statutory commissioners of identical standing within the single architecture; the terrorism-definition reform progressed through the INSLM process; and the national curriculum framework consolidated. The parity machinery of Phase One folds into the Act — the Council becomes the Taskforce’s governance tier, and the annual Parity and Cohesion Report becomes a statutory reporting obligation — so that nothing built in Phase One is discarded and the communities that gained standing in Phase One lose none of it in Phase Two.</w:t>
      </w:r>
    </w:p>
    <w:p>
      <w:pPr>
        <w:pStyle w:val="BodyText"/>
      </w:pPr>
      <w:r>
        <w:rPr>
          <w:bCs/>
          <w:b/>
        </w:rPr>
        <w:t xml:space="preserve">The through-line</w:t>
      </w:r>
      <w:r>
        <w:t xml:space="preserve"> </w:t>
      </w:r>
      <w:r>
        <w:t xml:space="preserve">is the positive duty. It is the one instrument that appears, in substance, in all four frameworks’ logic — institutional responsibility for prevention — and the one that protects Jewish, Muslim, Arab, Palestinian, Asian, African and First Nations Australians identically, by the same mechanism, enforced by the same body. A government seeking a single act that advances all four frameworks simultaneously, offends none of their constituencies, and answers the AHRC’s rights concerns about the current legislative trajectory, has it available in one amendment to a fifty-one-year-old statute.</w:t>
      </w:r>
    </w:p>
    <w:bookmarkEnd w:id="65"/>
    <w:bookmarkStart w:id="66" w:name="risks-and-contingencies"/>
    <w:p>
      <w:pPr>
        <w:pStyle w:val="Heading2"/>
      </w:pPr>
      <w:r>
        <w:t xml:space="preserve">10. Risks and Contingencies</w:t>
      </w:r>
    </w:p>
    <w:p>
      <w:pPr>
        <w:pStyle w:val="FirstParagraph"/>
      </w:pPr>
      <w:r>
        <w:t xml:space="preserve">Four contingencies could defeat the recommended sequence, and each admits mitigation. If the Royal Commission’s final report adopts the narrow reading and recommends deeper antisemitism-specific machinery, Phase Two’s vehicle is lost; the fallback is to complete Pathway Two in full, with the statutory parity rule doing the work that integration would have done, and to preserve the Multicultural Australia Act as a separate legislative project. If government cherry-picks Phase One — announcing a response to Malik without funding, or a taskforce without authority — the parity report mechanism should be brought forward so that the gap is documented annually on the public record; symbolic parity unaccompanied by resources is the likeliest failure mode and the one civil society should monitor most closely. If a change of government intervenes, statute is the only protection, which argues for maximum front-loading of the drafting work and for cultivating the cross-party constituency that the hate-crimes legislation of 2024–25 showed to exist. And if the definitional wars migrate into the drafting process — an IHRA-codification amendment moved to the Act, for instance — the conduct-based drafting principle should be defended as a red line, on the ground that fifty years of Australian discrimination law demonstrate that statutes can prohibit hatred’s conduct without adjudicating its philosophy.</w:t>
      </w:r>
    </w:p>
    <w:p>
      <w:pPr>
        <w:pStyle w:val="BodyText"/>
      </w:pPr>
      <w:r>
        <w:t xml:space="preserve">One risk cannot be mitigated by design and should be stated candidly: another mass-casualty attack, against any community, would reset the politics of this field within hours. The architecture recommended here is, among other things, an attempt to build before the next crisis the symmetric machinery that will otherwise be improvised asymmetrically after it.</w:t>
      </w:r>
    </w:p>
    <w:bookmarkEnd w:id="66"/>
    <w:bookmarkStart w:id="67" w:name="conclusion"/>
    <w:p>
      <w:pPr>
        <w:pStyle w:val="Heading2"/>
      </w:pPr>
      <w:r>
        <w:t xml:space="preserve">11. Conclusion</w:t>
      </w:r>
    </w:p>
    <w:p>
      <w:pPr>
        <w:pStyle w:val="FirstParagraph"/>
      </w:pPr>
      <w:r>
        <w:t xml:space="preserve">Australia’s government has been given, in the space of fifteen months, four serious answers to the question of how a diverse society protects its members from hatred. Read together, they agree on far more than their constituencies suppose: that racism is structural, that education and media are the primary levers, that data is inadequate, that coordination is absent, and that multicultural Australia is worth defending. Read together, they also disagree on questions that cannot be split down the middle: whether the state’s instrument is exclusion or transformation, whose definition governs, and whether a hierarchy of protection is tolerable. The quandary is real, but it is not, at bottom, intellectual. It is a quandary of standing — of which reports become law and which become literature — and it will be resolved either deliberately, through the sequenced construction of a symmetric national architecture pivoting on the Royal Commission’s final report, or by default, through the continued accretion of particular machinery for those able to command it. The first course honours all four frameworks by completing them. The second honours one by exhausting the others. The window between the two closes in December 2026.</w:t>
      </w:r>
    </w:p>
    <w:bookmarkEnd w:id="67"/>
    <w:bookmarkStart w:id="68" w:name="bibliography"/>
    <w:p>
      <w:pPr>
        <w:pStyle w:val="Heading2"/>
      </w:pPr>
      <w:r>
        <w:t xml:space="preserve">Bibliography</w:t>
      </w:r>
    </w:p>
    <w:p>
      <w:pPr>
        <w:pStyle w:val="FirstParagraph"/>
      </w:pPr>
      <w:r>
        <w:t xml:space="preserve">Australian Government.</w:t>
      </w:r>
      <w:r>
        <w:t xml:space="preserve"> </w:t>
      </w:r>
      <w:r>
        <w:rPr>
          <w:iCs/>
          <w:i/>
        </w:rPr>
        <w:t xml:space="preserve">Multicultural Framework Review: Government Response</w:t>
      </w:r>
      <w:r>
        <w:t xml:space="preserve">. Canberra: Department of Home Affairs, 2024.</w:t>
      </w:r>
    </w:p>
    <w:p>
      <w:pPr>
        <w:pStyle w:val="BodyText"/>
      </w:pPr>
      <w:r>
        <w:t xml:space="preserve">Australian Government.</w:t>
      </w:r>
      <w:r>
        <w:t xml:space="preserve"> </w:t>
      </w:r>
      <w:r>
        <w:rPr>
          <w:iCs/>
          <w:i/>
        </w:rPr>
        <w:t xml:space="preserve">Government Response to the Special Envoy’s Plan to Combat Antisemitism</w:t>
      </w:r>
      <w:r>
        <w:t xml:space="preserve">. Canberra: Department of Home Affairs, 2025.</w:t>
      </w:r>
    </w:p>
    <w:p>
      <w:pPr>
        <w:pStyle w:val="BodyText"/>
      </w:pPr>
      <w:r>
        <w:t xml:space="preserve">Australian Human Rights Commission.</w:t>
      </w:r>
      <w:r>
        <w:t xml:space="preserve"> </w:t>
      </w:r>
      <w:r>
        <w:rPr>
          <w:iCs/>
          <w:i/>
        </w:rPr>
        <w:t xml:space="preserve">National Anti-Racism Framework Scoping Report</w:t>
      </w:r>
      <w:r>
        <w:t xml:space="preserve">. Sydney: AHRC, 2022.</w:t>
      </w:r>
    </w:p>
    <w:p>
      <w:pPr>
        <w:pStyle w:val="BodyText"/>
      </w:pPr>
      <w:r>
        <w:t xml:space="preserve">Australian Human Rights Commission.</w:t>
      </w:r>
      <w:r>
        <w:t xml:space="preserve"> </w:t>
      </w:r>
      <w:r>
        <w:rPr>
          <w:iCs/>
          <w:i/>
        </w:rPr>
        <w:t xml:space="preserve">The National Anti-Racism Framework: A Roadmap to Eliminating Racism in Australia</w:t>
      </w:r>
      <w:r>
        <w:t xml:space="preserve">. Sydney: AHRC, 2024.</w:t>
      </w:r>
    </w:p>
    <w:p>
      <w:pPr>
        <w:pStyle w:val="BodyText"/>
      </w:pPr>
      <w:r>
        <w:t xml:space="preserve">Australian Human Rights Commission.</w:t>
      </w:r>
      <w:r>
        <w:t xml:space="preserve"> </w:t>
      </w:r>
      <w:r>
        <w:t xml:space="preserve">‘</w:t>
      </w:r>
      <w:r>
        <w:t xml:space="preserve">Race Discrimination Commissioner Calls for Nationally Coordinated Response to Racism, Including Antisemitism.</w:t>
      </w:r>
      <w:r>
        <w:t xml:space="preserve">’</w:t>
      </w:r>
      <w:r>
        <w:t xml:space="preserve"> </w:t>
      </w:r>
      <w:r>
        <w:t xml:space="preserve">Media release, July 2025.</w:t>
      </w:r>
    </w:p>
    <w:p>
      <w:pPr>
        <w:pStyle w:val="BodyText"/>
      </w:pPr>
      <w:r>
        <w:t xml:space="preserve">Australian Human Rights Commission.</w:t>
      </w:r>
      <w:r>
        <w:t xml:space="preserve"> </w:t>
      </w:r>
      <w:r>
        <w:rPr>
          <w:iCs/>
          <w:i/>
        </w:rPr>
        <w:t xml:space="preserve">Racism@Uni: Study of Racism in Australian Universities</w:t>
      </w:r>
      <w:r>
        <w:t xml:space="preserve">. Sydney: AHRC, 2026.</w:t>
      </w:r>
    </w:p>
    <w:p>
      <w:pPr>
        <w:pStyle w:val="BodyText"/>
      </w:pPr>
      <w:r>
        <w:t xml:space="preserve">Australian Human Rights Commission.</w:t>
      </w:r>
      <w:r>
        <w:t xml:space="preserve"> </w:t>
      </w:r>
      <w:r>
        <w:rPr>
          <w:iCs/>
          <w:i/>
        </w:rPr>
        <w:t xml:space="preserve">Australian Human Rights Assessment 2026: Racism and Affected Communities</w:t>
      </w:r>
      <w:r>
        <w:t xml:space="preserve">. Sydney: AHRC, 2026.</w:t>
      </w:r>
    </w:p>
    <w:p>
      <w:pPr>
        <w:pStyle w:val="BodyText"/>
      </w:pPr>
      <w:r>
        <w:t xml:space="preserve">Dellal, Bulent Hass, Nyadol Nyuon and Christine Castley.</w:t>
      </w:r>
      <w:r>
        <w:t xml:space="preserve"> </w:t>
      </w:r>
      <w:r>
        <w:rPr>
          <w:iCs/>
          <w:i/>
        </w:rPr>
        <w:t xml:space="preserve">Towards Fairness: A Multicultural Australia for All — Report of the Multicultural Framework Review</w:t>
      </w:r>
      <w:r>
        <w:t xml:space="preserve">. Canberra: Commonwealth of Australia, 2024.</w:t>
      </w:r>
    </w:p>
    <w:p>
      <w:pPr>
        <w:pStyle w:val="BodyText"/>
      </w:pPr>
      <w:r>
        <w:t xml:space="preserve">Federation of Ethnic Communities’ Councils of Australia.</w:t>
      </w:r>
      <w:r>
        <w:t xml:space="preserve"> </w:t>
      </w:r>
      <w:r>
        <w:rPr>
          <w:iCs/>
          <w:i/>
        </w:rPr>
        <w:t xml:space="preserve">Anti-Racism Framework: Perspectives of Multicultural Australia</w:t>
      </w:r>
      <w:r>
        <w:t xml:space="preserve">. Canberra: FECCA, 2024.</w:t>
      </w:r>
    </w:p>
    <w:p>
      <w:pPr>
        <w:pStyle w:val="BodyText"/>
      </w:pPr>
      <w:r>
        <w:t xml:space="preserve">International Holocaust Remembrance Alliance.</w:t>
      </w:r>
      <w:r>
        <w:t xml:space="preserve"> </w:t>
      </w:r>
      <w:r>
        <w:t xml:space="preserve">‘</w:t>
      </w:r>
      <w:r>
        <w:t xml:space="preserve">Working Definition of Antisemitism.</w:t>
      </w:r>
      <w:r>
        <w:t xml:space="preserve">’</w:t>
      </w:r>
      <w:r>
        <w:t xml:space="preserve"> </w:t>
      </w:r>
      <w:r>
        <w:t xml:space="preserve">Bucharest: IHRA, 2016.</w:t>
      </w:r>
    </w:p>
    <w:p>
      <w:pPr>
        <w:pStyle w:val="BodyText"/>
      </w:pPr>
      <w:r>
        <w:t xml:space="preserve">‘</w:t>
      </w:r>
      <w:r>
        <w:t xml:space="preserve">The Jerusalem Declaration on Antisemitism.</w:t>
      </w:r>
      <w:r>
        <w:t xml:space="preserve">’</w:t>
      </w:r>
      <w:r>
        <w:t xml:space="preserve"> </w:t>
      </w:r>
      <w:r>
        <w:t xml:space="preserve">2021.</w:t>
      </w:r>
    </w:p>
    <w:p>
      <w:pPr>
        <w:pStyle w:val="BodyText"/>
      </w:pPr>
      <w:r>
        <w:t xml:space="preserve">Malik, Aftab.</w:t>
      </w:r>
      <w:r>
        <w:t xml:space="preserve"> </w:t>
      </w:r>
      <w:r>
        <w:rPr>
          <w:iCs/>
          <w:i/>
        </w:rPr>
        <w:t xml:space="preserve">A National Response to Islamophobia: A Strategic Framework for Inclusion, Safety and Prosperity</w:t>
      </w:r>
      <w:r>
        <w:t xml:space="preserve">. Sydney: Office of the Special Envoy to Combat Islamophobia, 2025.</w:t>
      </w:r>
    </w:p>
    <w:p>
      <w:pPr>
        <w:pStyle w:val="BodyText"/>
      </w:pPr>
      <w:r>
        <w:t xml:space="preserve">Malik, Aftab.</w:t>
      </w:r>
      <w:r>
        <w:t xml:space="preserve"> </w:t>
      </w:r>
      <w:r>
        <w:rPr>
          <w:iCs/>
          <w:i/>
        </w:rPr>
        <w:t xml:space="preserve">Submission to the Independent National Security Legislation Monitor: Review of the Definition of Terrorism</w:t>
      </w:r>
      <w:r>
        <w:t xml:space="preserve">. Sydney: OSECI, 2025.</w:t>
      </w:r>
    </w:p>
    <w:p>
      <w:pPr>
        <w:pStyle w:val="BodyText"/>
      </w:pPr>
      <w:r>
        <w:t xml:space="preserve">Royal Commission on Antisemitism and Social Cohesion.</w:t>
      </w:r>
      <w:r>
        <w:t xml:space="preserve"> </w:t>
      </w:r>
      <w:r>
        <w:rPr>
          <w:iCs/>
          <w:i/>
        </w:rPr>
        <w:t xml:space="preserve">Interim Report</w:t>
      </w:r>
      <w:r>
        <w:t xml:space="preserve">. Canberra: Commonwealth of Australia, 2026.</w:t>
      </w:r>
    </w:p>
    <w:p>
      <w:pPr>
        <w:pStyle w:val="BodyText"/>
      </w:pPr>
      <w:r>
        <w:t xml:space="preserve">Scanlon Foundation Research Institute.</w:t>
      </w:r>
      <w:r>
        <w:t xml:space="preserve"> </w:t>
      </w:r>
      <w:r>
        <w:rPr>
          <w:iCs/>
          <w:i/>
        </w:rPr>
        <w:t xml:space="preserve">Mapping Social Cohesion</w:t>
      </w:r>
      <w:r>
        <w:t xml:space="preserve">. Melbourne: Scanlon Institute, 2023.</w:t>
      </w:r>
    </w:p>
    <w:p>
      <w:pPr>
        <w:pStyle w:val="BodyText"/>
      </w:pPr>
      <w:r>
        <w:t xml:space="preserve">Segal, Jillian.</w:t>
      </w:r>
      <w:r>
        <w:t xml:space="preserve"> </w:t>
      </w:r>
      <w:r>
        <w:rPr>
          <w:iCs/>
          <w:i/>
        </w:rPr>
        <w:t xml:space="preserve">Special Envoy’s Plan to Combat Antisemitism</w:t>
      </w:r>
      <w:r>
        <w:t xml:space="preserve">. Sydney: Office of the Special Envoy to Combat Antisemitism, 2025.</w:t>
      </w:r>
    </w:p>
    <w:p>
      <w:pPr>
        <w:pStyle w:val="BodyText"/>
      </w:pPr>
      <w:r>
        <w:t xml:space="preserve">Stern, Kenneth S.</w:t>
      </w:r>
      <w:r>
        <w:t xml:space="preserve"> </w:t>
      </w:r>
      <w:r>
        <w:t xml:space="preserve">‘</w:t>
      </w:r>
      <w:r>
        <w:t xml:space="preserve">I Drafted the Definition of Antisemitism. Rightwing Jews Are Weaponizing It.</w:t>
      </w:r>
      <w:r>
        <w:t xml:space="preserve">’</w:t>
      </w:r>
      <w:r>
        <w:t xml:space="preserve"> </w:t>
      </w:r>
      <w:r>
        <w:rPr>
          <w:iCs/>
          <w:i/>
        </w:rPr>
        <w:t xml:space="preserve">The Guardian</w:t>
      </w:r>
      <w:r>
        <w:t xml:space="preserve">, 13 December 2019.</w:t>
      </w:r>
    </w:p>
    <w:p>
      <w:pPr>
        <w:pStyle w:val="BodyText"/>
      </w:pPr>
      <w:r>
        <w:t xml:space="preserve">Universities Australia. Statement on the adoption of a definition of antisemitism. Canberra: Universities Australia, February 2025.</w:t>
      </w:r>
    </w:p>
    <w:p>
      <w:pPr>
        <w:pStyle w:val="BodyText"/>
      </w:pPr>
      <w:r>
        <w:rPr>
          <w:bCs/>
          <w:b/>
        </w:rPr>
        <w:t xml:space="preserve">Cases and legislation</w:t>
      </w:r>
    </w:p>
    <w:p>
      <w:pPr>
        <w:pStyle w:val="BodyText"/>
      </w:pPr>
      <w:r>
        <w:rPr>
          <w:iCs/>
          <w:i/>
        </w:rPr>
        <w:t xml:space="preserve">Multicultural Victoria Act 2011</w:t>
      </w:r>
      <w:r>
        <w:t xml:space="preserve"> </w:t>
      </w:r>
      <w:r>
        <w:t xml:space="preserve">(Vic). ·</w:t>
      </w:r>
      <w:r>
        <w:t xml:space="preserve"> </w:t>
      </w:r>
      <w:r>
        <w:rPr>
          <w:iCs/>
          <w:i/>
        </w:rPr>
        <w:t xml:space="preserve">Multiculturalism Act 2020</w:t>
      </w:r>
      <w:r>
        <w:t xml:space="preserve"> </w:t>
      </w:r>
      <w:r>
        <w:t xml:space="preserve">(NSW). ·</w:t>
      </w:r>
      <w:r>
        <w:t xml:space="preserve"> </w:t>
      </w:r>
      <w:r>
        <w:rPr>
          <w:iCs/>
          <w:i/>
        </w:rPr>
        <w:t xml:space="preserve">Racial Discrimination Act 1975</w:t>
      </w:r>
      <w:r>
        <w:t xml:space="preserve"> </w:t>
      </w:r>
      <w:r>
        <w:t xml:space="preserve">(Cth). ·</w:t>
      </w:r>
      <w:r>
        <w:t xml:space="preserve"> </w:t>
      </w:r>
      <w:r>
        <w:rPr>
          <w:iCs/>
          <w:i/>
        </w:rPr>
        <w:t xml:space="preserve">Wertheim v Haddad</w:t>
      </w:r>
      <w:r>
        <w:t xml:space="preserve"> </w:t>
      </w:r>
      <w:r>
        <w:t xml:space="preserve">[2025] FCA 720.</w:t>
      </w:r>
    </w:p>
    <w:p>
      <w:pPr>
        <w:pStyle w:val="BodyText"/>
      </w:pPr>
      <w:r>
        <w:rPr>
          <w:iCs/>
          <w:i/>
        </w:rPr>
        <w:t xml:space="preserve">Note on citations:</w:t>
      </w:r>
      <w:r>
        <w:t xml:space="preserve"> </w:t>
      </w:r>
      <w:r>
        <w:t xml:space="preserve">footnotes follow Chicago notes-and-bibliography conventions consistent with</w:t>
      </w:r>
      <w:r>
        <w:t xml:space="preserve"> </w:t>
      </w:r>
      <w:r>
        <w:rPr>
          <w:iCs/>
          <w:i/>
        </w:rPr>
        <w:t xml:space="preserve">History Australia</w:t>
      </w:r>
      <w:r>
        <w:t xml:space="preserve"> </w:t>
      </w:r>
      <w:r>
        <w:t xml:space="preserve">style. Pinpoint page references to the primary reports should be inserted at final drafting from the documents held in the author’s research files; citations to the December 2025 attack, the Royal Commission’s establishment and interim report, and post-launch commentary rest on official releases and contemporaneous reporting current to July 2026.</w:t>
      </w:r>
    </w:p>
    <w:bookmarkEnd w:id="68"/>
    <w:sectPr>
      <w:headerReference w:type="default" r:id="rIdHdrD"/>
      <w:headerReference w:type="first" r:id="rIdHdrF"/>
      <w:footerReference w:type="default" r:id="rIdFtrD"/>
      <w:footerReference w:type="first" r:id="rIdFtrF"/>
      <w:pgSz w:w="11906" w:h="16838"/>
      <w:pgMar w:top="1440" w:right="1440" w:bottom="1440" w:left="1440" w:header="720" w:footer="720" w:gutter="0"/>
      <w:cols w:space="708"/>
      <w:titlePg/>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http://schemas.openxmlformats.org/wordprocessingml/2006/main">
  <w:p/>
</w:ftr>
</file>

<file path=word/footer2.xml><?xml version="1.0" encoding="utf-8"?>
<w:ftr xmlns:w="http://schemas.openxmlformats.org/wordprocessingml/2006/main">
  <w:p>
    <w:pPr>
      <w:jc w:val="center"/>
    </w:pPr>
    <w:r>
      <w:rPr>
        <w:sz w:val="18"/>
      </w:rPr>
      <w:fldChar w:fldCharType="begin"/>
    </w:r>
    <w:r>
      <w:rPr>
        <w:sz w:val="18"/>
      </w:rPr>
      <w:instrText xml:space="preserve"> PAGE </w:instrText>
    </w:r>
    <w:r>
      <w:rPr>
        <w:sz w:val="18"/>
      </w:rP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0">
    <w:p>
      <w:pPr>
        <w:pStyle w:val="FootnoteText"/>
      </w:pPr>
      <w:r>
        <w:rPr>
          <w:rStyle w:val="FootnoteReference"/>
        </w:rPr>
        <w:footnoteRef/>
      </w:r>
      <w:r>
        <w:t xml:space="preserve"> </w:t>
      </w:r>
      <w:r>
        <w:t xml:space="preserve">Bulent Hass Dellal, Nyadol Nyuon and Christine Castley,</w:t>
      </w:r>
      <w:r>
        <w:t xml:space="preserve"> </w:t>
      </w:r>
      <w:r>
        <w:rPr>
          <w:iCs/>
          <w:i/>
        </w:rPr>
        <w:t xml:space="preserve">Towards Fairness: A Multicultural Australia for All — Report of the Multicultural Framework Review</w:t>
      </w:r>
      <w:r>
        <w:t xml:space="preserve"> </w:t>
      </w:r>
      <w:r>
        <w:t xml:space="preserve">(Canberra: Commonwealth of Australia, 2024); Australian Human Rights Commission,</w:t>
      </w:r>
      <w:r>
        <w:t xml:space="preserve"> </w:t>
      </w:r>
      <w:r>
        <w:rPr>
          <w:iCs/>
          <w:i/>
        </w:rPr>
        <w:t xml:space="preserve">The National Anti-Racism Framework: A Roadmap to Eliminating Racism in Australia</w:t>
      </w:r>
      <w:r>
        <w:t xml:space="preserve"> </w:t>
      </w:r>
      <w:r>
        <w:t xml:space="preserve">(Sydney: Australian Human Rights Commission, 2024); Jillian Segal,</w:t>
      </w:r>
      <w:r>
        <w:t xml:space="preserve"> </w:t>
      </w:r>
      <w:r>
        <w:rPr>
          <w:iCs/>
          <w:i/>
        </w:rPr>
        <w:t xml:space="preserve">Special Envoy’s Plan to Combat Antisemitism</w:t>
      </w:r>
      <w:r>
        <w:t xml:space="preserve"> </w:t>
      </w:r>
      <w:r>
        <w:t xml:space="preserve">(Sydney: Office of the Special Envoy to Combat Antisemitism, 2025); Aftab Malik,</w:t>
      </w:r>
      <w:r>
        <w:t xml:space="preserve"> </w:t>
      </w:r>
      <w:r>
        <w:rPr>
          <w:iCs/>
          <w:i/>
        </w:rPr>
        <w:t xml:space="preserve">A National Response to Islamophobia: A Strategic Framework for Inclusion, Safety and Prosperity</w:t>
      </w:r>
      <w:r>
        <w:t xml:space="preserve"> </w:t>
      </w:r>
      <w:r>
        <w:t xml:space="preserve">(Sydney: Office of the Special Envoy to Combat Islamophobia, 2025).</w:t>
      </w:r>
    </w:p>
  </w:footnote>
  <w:footnote w:id="21">
    <w:p>
      <w:pPr>
        <w:pStyle w:val="FootnoteText"/>
      </w:pPr>
      <w:r>
        <w:rPr>
          <w:rStyle w:val="FootnoteReference"/>
        </w:rPr>
        <w:footnoteRef/>
      </w:r>
      <w:r>
        <w:t xml:space="preserve"> </w:t>
      </w:r>
      <w:r>
        <w:t xml:space="preserve">Australian Government,</w:t>
      </w:r>
      <w:r>
        <w:t xml:space="preserve"> </w:t>
      </w:r>
      <w:r>
        <w:rPr>
          <w:iCs/>
          <w:i/>
        </w:rPr>
        <w:t xml:space="preserve">Government Response to the Special Envoy’s Plan to Combat Antisemitism</w:t>
      </w:r>
      <w:r>
        <w:t xml:space="preserve"> </w:t>
      </w:r>
      <w:r>
        <w:t xml:space="preserve">(Canberra: Department of Home Affairs, 2025).</w:t>
      </w:r>
    </w:p>
  </w:footnote>
  <w:footnote w:id="22">
    <w:p>
      <w:pPr>
        <w:pStyle w:val="FootnoteText"/>
      </w:pPr>
      <w:r>
        <w:rPr>
          <w:rStyle w:val="FootnoteReference"/>
        </w:rPr>
        <w:footnoteRef/>
      </w:r>
      <w:r>
        <w:t xml:space="preserve"> </w:t>
      </w:r>
      <w:r>
        <w:t xml:space="preserve">Royal Commission on Antisemitism and Social Cohesion,</w:t>
      </w:r>
      <w:r>
        <w:t xml:space="preserve"> </w:t>
      </w:r>
      <w:r>
        <w:rPr>
          <w:iCs/>
          <w:i/>
        </w:rPr>
        <w:t xml:space="preserve">Interim Report</w:t>
      </w:r>
      <w:r>
        <w:t xml:space="preserve"> </w:t>
      </w:r>
      <w:r>
        <w:t xml:space="preserve">(Canberra: Commonwealth of Australia, 2026); Letters Patent and terms of reference, January 2026.</w:t>
      </w:r>
    </w:p>
  </w:footnote>
  <w:footnote w:id="25">
    <w:p>
      <w:pPr>
        <w:pStyle w:val="FootnoteText"/>
      </w:pPr>
      <w:r>
        <w:rPr>
          <w:rStyle w:val="FootnoteReference"/>
        </w:rPr>
        <w:footnoteRef/>
      </w:r>
      <w:r>
        <w:t xml:space="preserve"> </w:t>
      </w:r>
      <w:r>
        <w:t xml:space="preserve">Dellal, Nyuon and Castley,</w:t>
      </w:r>
      <w:r>
        <w:t xml:space="preserve"> </w:t>
      </w:r>
      <w:r>
        <w:rPr>
          <w:iCs/>
          <w:i/>
        </w:rPr>
        <w:t xml:space="preserve">Towards Fairness</w:t>
      </w:r>
      <w:r>
        <w:t xml:space="preserve">.</w:t>
      </w:r>
    </w:p>
  </w:footnote>
  <w:footnote w:id="26">
    <w:p>
      <w:pPr>
        <w:pStyle w:val="FootnoteText"/>
      </w:pPr>
      <w:r>
        <w:rPr>
          <w:rStyle w:val="FootnoteReference"/>
        </w:rPr>
        <w:footnoteRef/>
      </w:r>
      <w:r>
        <w:t xml:space="preserve"> </w:t>
      </w:r>
      <w:r>
        <w:t xml:space="preserve">Federation of Ethnic Communities’ Councils of Australia,</w:t>
      </w:r>
      <w:r>
        <w:t xml:space="preserve"> </w:t>
      </w:r>
      <w:r>
        <w:rPr>
          <w:iCs/>
          <w:i/>
        </w:rPr>
        <w:t xml:space="preserve">Anti-Racism Framework: Perspectives of Multicultural Australia</w:t>
      </w:r>
      <w:r>
        <w:t xml:space="preserve">, report commissioned by the Australian Human Rights Commission (Canberra: FECCA, 2024).</w:t>
      </w:r>
    </w:p>
  </w:footnote>
  <w:footnote w:id="27">
    <w:p>
      <w:pPr>
        <w:pStyle w:val="FootnoteText"/>
      </w:pPr>
      <w:r>
        <w:rPr>
          <w:rStyle w:val="FootnoteReference"/>
        </w:rPr>
        <w:footnoteRef/>
      </w:r>
      <w:r>
        <w:t xml:space="preserve"> </w:t>
      </w:r>
      <w:r>
        <w:t xml:space="preserve">Australian Human Rights Commission,</w:t>
      </w:r>
      <w:r>
        <w:t xml:space="preserve"> </w:t>
      </w:r>
      <w:r>
        <w:rPr>
          <w:iCs/>
          <w:i/>
        </w:rPr>
        <w:t xml:space="preserve">Racism@Uni: Study of Racism in Australian Universities</w:t>
      </w:r>
      <w:r>
        <w:t xml:space="preserve"> </w:t>
      </w:r>
      <w:r>
        <w:t xml:space="preserve">(Sydney: AHRC, 2026).</w:t>
      </w:r>
    </w:p>
  </w:footnote>
  <w:footnote w:id="28">
    <w:p>
      <w:pPr>
        <w:pStyle w:val="FootnoteText"/>
      </w:pPr>
      <w:r>
        <w:rPr>
          <w:rStyle w:val="FootnoteReference"/>
        </w:rPr>
        <w:footnoteRef/>
      </w:r>
      <w:r>
        <w:t xml:space="preserve"> </w:t>
      </w:r>
      <w:r>
        <w:t xml:space="preserve">Australian Human Rights Commission,</w:t>
      </w:r>
      <w:r>
        <w:t xml:space="preserve"> </w:t>
      </w:r>
      <w:r>
        <w:rPr>
          <w:iCs/>
          <w:i/>
        </w:rPr>
        <w:t xml:space="preserve">Australian Human Rights Assessment 2026: Racism and Affected Communities</w:t>
      </w:r>
      <w:r>
        <w:t xml:space="preserve"> </w:t>
      </w:r>
      <w:r>
        <w:t xml:space="preserve">(Sydney: AHRC, 2026).</w:t>
      </w:r>
    </w:p>
  </w:footnote>
  <w:footnote w:id="29">
    <w:p>
      <w:pPr>
        <w:pStyle w:val="FootnoteText"/>
      </w:pPr>
      <w:r>
        <w:rPr>
          <w:rStyle w:val="FootnoteReference"/>
        </w:rPr>
        <w:footnoteRef/>
      </w:r>
      <w:r>
        <w:t xml:space="preserve"> </w:t>
      </w:r>
      <w:r>
        <w:t xml:space="preserve">Scanlon Foundation Research Institute,</w:t>
      </w:r>
      <w:r>
        <w:t xml:space="preserve"> </w:t>
      </w:r>
      <w:r>
        <w:rPr>
          <w:iCs/>
          <w:i/>
        </w:rPr>
        <w:t xml:space="preserve">Mapping Social Cohesion</w:t>
      </w:r>
      <w:r>
        <w:t xml:space="preserve"> </w:t>
      </w:r>
      <w:r>
        <w:t xml:space="preserve">(Melbourne: Scanlon Institute, 2023).</w:t>
      </w:r>
    </w:p>
  </w:footnote>
  <w:footnote w:id="31">
    <w:p>
      <w:pPr>
        <w:pStyle w:val="FootnoteText"/>
      </w:pPr>
      <w:r>
        <w:rPr>
          <w:rStyle w:val="FootnoteReference"/>
        </w:rPr>
        <w:footnoteRef/>
      </w:r>
      <w:r>
        <w:t xml:space="preserve"> </w:t>
      </w:r>
      <w:r>
        <w:t xml:space="preserve">Australian Government,</w:t>
      </w:r>
      <w:r>
        <w:t xml:space="preserve"> </w:t>
      </w:r>
      <w:r>
        <w:rPr>
          <w:iCs/>
          <w:i/>
        </w:rPr>
        <w:t xml:space="preserve">Multicultural Framework Review: Government Response</w:t>
      </w:r>
      <w:r>
        <w:t xml:space="preserve"> </w:t>
      </w:r>
      <w:r>
        <w:t xml:space="preserve">(Canberra: Department of Home Affairs, 2024).</w:t>
      </w:r>
    </w:p>
  </w:footnote>
  <w:footnote w:id="32">
    <w:p>
      <w:pPr>
        <w:pStyle w:val="FootnoteText"/>
      </w:pPr>
      <w:r>
        <w:rPr>
          <w:rStyle w:val="FootnoteReference"/>
        </w:rPr>
        <w:footnoteRef/>
      </w:r>
      <w:r>
        <w:t xml:space="preserve"> </w:t>
      </w:r>
      <w:r>
        <w:t xml:space="preserve">Dellal, Nyuon and Castley,</w:t>
      </w:r>
      <w:r>
        <w:t xml:space="preserve"> </w:t>
      </w:r>
      <w:r>
        <w:rPr>
          <w:iCs/>
          <w:i/>
        </w:rPr>
        <w:t xml:space="preserve">Towards Fairness</w:t>
      </w:r>
      <w:r>
        <w:t xml:space="preserve">.</w:t>
      </w:r>
    </w:p>
  </w:footnote>
  <w:footnote w:id="34">
    <w:p>
      <w:pPr>
        <w:pStyle w:val="FootnoteText"/>
      </w:pPr>
      <w:r>
        <w:rPr>
          <w:rStyle w:val="FootnoteReference"/>
        </w:rPr>
        <w:footnoteRef/>
      </w:r>
      <w:r>
        <w:t xml:space="preserve"> </w:t>
      </w:r>
      <w:r>
        <w:t xml:space="preserve">AHRC,</w:t>
      </w:r>
      <w:r>
        <w:t xml:space="preserve"> </w:t>
      </w:r>
      <w:r>
        <w:rPr>
          <w:iCs/>
          <w:i/>
        </w:rPr>
        <w:t xml:space="preserve">National Anti-Racism Framework</w:t>
      </w:r>
      <w:r>
        <w:t xml:space="preserve">, recommendations on reform of the</w:t>
      </w:r>
      <w:r>
        <w:t xml:space="preserve"> </w:t>
      </w:r>
      <w:r>
        <w:rPr>
          <w:iCs/>
          <w:i/>
        </w:rPr>
        <w:t xml:space="preserve">Racial Discrimination Act 1975</w:t>
      </w:r>
      <w:r>
        <w:t xml:space="preserve"> </w:t>
      </w:r>
      <w:r>
        <w:t xml:space="preserve">(Cth).</w:t>
      </w:r>
    </w:p>
  </w:footnote>
  <w:footnote w:id="35">
    <w:p>
      <w:pPr>
        <w:pStyle w:val="FootnoteText"/>
      </w:pPr>
      <w:r>
        <w:rPr>
          <w:rStyle w:val="FootnoteReference"/>
        </w:rPr>
        <w:footnoteRef/>
      </w:r>
      <w:r>
        <w:t xml:space="preserve"> </w:t>
      </w:r>
      <w:r>
        <w:t xml:space="preserve">Australian Human Rights Commission,</w:t>
      </w:r>
      <w:r>
        <w:t xml:space="preserve"> </w:t>
      </w:r>
      <w:r>
        <w:t xml:space="preserve">‘</w:t>
      </w:r>
      <w:r>
        <w:t xml:space="preserve">Race Discrimination Commissioner Calls for Nationally Coordinated Response to Racism, Including Antisemitism</w:t>
      </w:r>
      <w:r>
        <w:t xml:space="preserve">’</w:t>
      </w:r>
      <w:r>
        <w:t xml:space="preserve">, media release, July 2025.</w:t>
      </w:r>
    </w:p>
  </w:footnote>
  <w:footnote w:id="37">
    <w:p>
      <w:pPr>
        <w:pStyle w:val="FootnoteText"/>
      </w:pPr>
      <w:r>
        <w:rPr>
          <w:rStyle w:val="FootnoteReference"/>
        </w:rPr>
        <w:footnoteRef/>
      </w:r>
      <w:r>
        <w:t xml:space="preserve"> </w:t>
      </w:r>
      <w:r>
        <w:t xml:space="preserve">Segal,</w:t>
      </w:r>
      <w:r>
        <w:t xml:space="preserve"> </w:t>
      </w:r>
      <w:r>
        <w:rPr>
          <w:iCs/>
          <w:i/>
        </w:rPr>
        <w:t xml:space="preserve">Special Envoy’s Plan to Combat Antisemitism</w:t>
      </w:r>
      <w:r>
        <w:t xml:space="preserve">.</w:t>
      </w:r>
    </w:p>
  </w:footnote>
  <w:footnote w:id="38">
    <w:p>
      <w:pPr>
        <w:pStyle w:val="FootnoteText"/>
      </w:pPr>
      <w:r>
        <w:rPr>
          <w:rStyle w:val="FootnoteReference"/>
        </w:rPr>
        <w:footnoteRef/>
      </w:r>
      <w:r>
        <w:t xml:space="preserve"> </w:t>
      </w:r>
      <w:r>
        <w:t xml:space="preserve">Australian Government,</w:t>
      </w:r>
      <w:r>
        <w:t xml:space="preserve"> </w:t>
      </w:r>
      <w:r>
        <w:rPr>
          <w:iCs/>
          <w:i/>
        </w:rPr>
        <w:t xml:space="preserve">Government Response to the Special Envoy’s Plan to Combat Antisemitism</w:t>
      </w:r>
      <w:r>
        <w:t xml:space="preserve">.</w:t>
      </w:r>
    </w:p>
  </w:footnote>
  <w:footnote w:id="39">
    <w:p>
      <w:pPr>
        <w:pStyle w:val="FootnoteText"/>
      </w:pPr>
      <w:r>
        <w:rPr>
          <w:rStyle w:val="FootnoteReference"/>
        </w:rPr>
        <w:footnoteRef/>
      </w:r>
      <w:r>
        <w:t xml:space="preserve"> </w:t>
      </w:r>
      <w:r>
        <w:t xml:space="preserve">Australian Human Rights Commission statements on the Plan’s human rights implications, July 2025, and contemporaneous reporting.</w:t>
      </w:r>
    </w:p>
  </w:footnote>
  <w:footnote w:id="41">
    <w:p>
      <w:pPr>
        <w:pStyle w:val="FootnoteText"/>
      </w:pPr>
      <w:r>
        <w:rPr>
          <w:rStyle w:val="FootnoteReference"/>
        </w:rPr>
        <w:footnoteRef/>
      </w:r>
      <w:r>
        <w:t xml:space="preserve"> </w:t>
      </w:r>
      <w:r>
        <w:t xml:space="preserve">Malik,</w:t>
      </w:r>
      <w:r>
        <w:t xml:space="preserve"> </w:t>
      </w:r>
      <w:r>
        <w:rPr>
          <w:iCs/>
          <w:i/>
        </w:rPr>
        <w:t xml:space="preserve">A National Response to Islamophobia</w:t>
      </w:r>
      <w:r>
        <w:t xml:space="preserve">, citing Islamophobia Register Australia incident data.</w:t>
      </w:r>
    </w:p>
  </w:footnote>
  <w:footnote w:id="42">
    <w:p>
      <w:pPr>
        <w:pStyle w:val="FootnoteText"/>
      </w:pPr>
      <w:r>
        <w:rPr>
          <w:rStyle w:val="FootnoteReference"/>
        </w:rPr>
        <w:footnoteRef/>
      </w:r>
      <w:r>
        <w:t xml:space="preserve"> </w:t>
      </w:r>
      <w:r>
        <w:t xml:space="preserve">Aftab Malik,</w:t>
      </w:r>
      <w:r>
        <w:t xml:space="preserve"> </w:t>
      </w:r>
      <w:r>
        <w:rPr>
          <w:iCs/>
          <w:i/>
        </w:rPr>
        <w:t xml:space="preserve">Submission to the Independent National Security Legislation Monitor: Review of the Definition of Terrorism</w:t>
      </w:r>
      <w:r>
        <w:t xml:space="preserve"> </w:t>
      </w:r>
      <w:r>
        <w:t xml:space="preserve">(Sydney: OSECI, 2025).</w:t>
      </w:r>
    </w:p>
  </w:footnote>
  <w:footnote w:id="43">
    <w:p>
      <w:pPr>
        <w:pStyle w:val="FootnoteText"/>
      </w:pPr>
      <w:r>
        <w:rPr>
          <w:rStyle w:val="FootnoteReference"/>
        </w:rPr>
        <w:footnoteRef/>
      </w:r>
      <w:r>
        <w:t xml:space="preserve"> </w:t>
      </w:r>
      <w:r>
        <w:t xml:space="preserve">Prime Minister of Australia, remarks at the release of</w:t>
      </w:r>
      <w:r>
        <w:t xml:space="preserve"> </w:t>
      </w:r>
      <w:r>
        <w:rPr>
          <w:iCs/>
          <w:i/>
        </w:rPr>
        <w:t xml:space="preserve">A National Response to Islamophobia</w:t>
      </w:r>
      <w:r>
        <w:t xml:space="preserve">, transcript, September 2025.</w:t>
      </w:r>
    </w:p>
  </w:footnote>
  <w:footnote w:id="44">
    <w:p>
      <w:pPr>
        <w:pStyle w:val="FootnoteText"/>
      </w:pPr>
      <w:r>
        <w:rPr>
          <w:rStyle w:val="FootnoteReference"/>
        </w:rPr>
        <w:footnoteRef/>
      </w:r>
      <w:r>
        <w:t xml:space="preserve"> </w:t>
      </w:r>
      <w:r>
        <w:rPr>
          <w:iCs/>
          <w:i/>
        </w:rPr>
        <w:t xml:space="preserve">Wertheim v Haddad</w:t>
      </w:r>
      <w:r>
        <w:t xml:space="preserve"> </w:t>
      </w:r>
      <w:r>
        <w:t xml:space="preserve">[2025] FCA 720 (Stewart J, 1 July 2025).</w:t>
      </w:r>
    </w:p>
  </w:footnote>
  <w:footnote w:id="51">
    <w:p>
      <w:pPr>
        <w:pStyle w:val="FootnoteText"/>
      </w:pPr>
      <w:r>
        <w:rPr>
          <w:rStyle w:val="FootnoteReference"/>
        </w:rPr>
        <w:footnoteRef/>
      </w:r>
      <w:r>
        <w:t xml:space="preserve"> </w:t>
      </w:r>
      <w:r>
        <w:t xml:space="preserve">International Holocaust Remembrance Alliance,</w:t>
      </w:r>
      <w:r>
        <w:t xml:space="preserve"> </w:t>
      </w:r>
      <w:r>
        <w:t xml:space="preserve">‘</w:t>
      </w:r>
      <w:r>
        <w:t xml:space="preserve">Working Definition of Antisemitism</w:t>
      </w:r>
      <w:r>
        <w:t xml:space="preserve">’</w:t>
      </w:r>
      <w:r>
        <w:t xml:space="preserve"> </w:t>
      </w:r>
      <w:r>
        <w:t xml:space="preserve">(2016); Universities Australia, statement on the adoption of a definition of antisemitism, February 2025.</w:t>
      </w:r>
    </w:p>
  </w:footnote>
  <w:footnote w:id="52">
    <w:p>
      <w:pPr>
        <w:pStyle w:val="FootnoteText"/>
      </w:pPr>
      <w:r>
        <w:rPr>
          <w:rStyle w:val="FootnoteReference"/>
        </w:rPr>
        <w:footnoteRef/>
      </w:r>
      <w:r>
        <w:t xml:space="preserve"> </w:t>
      </w:r>
      <w:r>
        <w:t xml:space="preserve">‘</w:t>
      </w:r>
      <w:r>
        <w:t xml:space="preserve">The Jerusalem Declaration on Antisemitism</w:t>
      </w:r>
      <w:r>
        <w:t xml:space="preserve">’</w:t>
      </w:r>
      <w:r>
        <w:t xml:space="preserve"> </w:t>
      </w:r>
      <w:r>
        <w:t xml:space="preserve">(2021).</w:t>
      </w:r>
    </w:p>
  </w:footnote>
  <w:footnote w:id="53">
    <w:p>
      <w:pPr>
        <w:pStyle w:val="FootnoteText"/>
      </w:pPr>
      <w:r>
        <w:rPr>
          <w:rStyle w:val="FootnoteReference"/>
        </w:rPr>
        <w:footnoteRef/>
      </w:r>
      <w:r>
        <w:t xml:space="preserve"> </w:t>
      </w:r>
      <w:r>
        <w:t xml:space="preserve">Kenneth S. Stern,</w:t>
      </w:r>
      <w:r>
        <w:t xml:space="preserve"> </w:t>
      </w:r>
      <w:r>
        <w:t xml:space="preserve">‘</w:t>
      </w:r>
      <w:r>
        <w:t xml:space="preserve">I Drafted the Definition of Antisemitism. Rightwing Jews Are Weaponizing It</w:t>
      </w:r>
      <w:r>
        <w:t xml:space="preserve">’</w:t>
      </w:r>
      <w:r>
        <w:t xml:space="preserve">,</w:t>
      </w:r>
      <w:r>
        <w:t xml:space="preserve"> </w:t>
      </w:r>
      <w:r>
        <w:rPr>
          <w:iCs/>
          <w:i/>
        </w:rPr>
        <w:t xml:space="preserve">The Guardian</w:t>
      </w:r>
      <w:r>
        <w:t xml:space="preserve">, 13 December 2019; Stern, testimony before the US House of Representatives Committee on the Judiciary, hearing on antisemitism on college campuses, 7 November 2017.</w:t>
      </w:r>
    </w:p>
  </w:footnote>
  <w:footnote w:id="54">
    <w:p>
      <w:pPr>
        <w:pStyle w:val="FootnoteText"/>
      </w:pPr>
      <w:r>
        <w:rPr>
          <w:rStyle w:val="FootnoteReference"/>
        </w:rPr>
        <w:footnoteRef/>
      </w:r>
      <w:r>
        <w:t xml:space="preserve"> </w:t>
      </w:r>
      <w:r>
        <w:rPr>
          <w:iCs/>
          <w:i/>
        </w:rPr>
        <w:t xml:space="preserve">Wertheim v Haddad</w:t>
      </w:r>
      <w:r>
        <w:t xml:space="preserve"> </w:t>
      </w:r>
      <w:r>
        <w:t xml:space="preserve">[2025] FCA 720 at [107]: the finding that it is not antisemitic to criticise Israel is the corollary of the finding that to blame Jews for the actions of Israel is antisemitic.</w:t>
      </w:r>
    </w:p>
  </w:footnote>
  <w:footnote w:id="61">
    <w:p>
      <w:pPr>
        <w:pStyle w:val="FootnoteText"/>
      </w:pPr>
      <w:r>
        <w:rPr>
          <w:rStyle w:val="FootnoteReference"/>
        </w:rPr>
        <w:footnoteRef/>
      </w:r>
      <w:r>
        <w:t xml:space="preserve"> </w:t>
      </w:r>
      <w:r>
        <w:t xml:space="preserve">See, e.g.,</w:t>
      </w:r>
      <w:r>
        <w:t xml:space="preserve"> </w:t>
      </w:r>
      <w:r>
        <w:rPr>
          <w:iCs/>
          <w:i/>
        </w:rPr>
        <w:t xml:space="preserve">Multicultural Victoria Act 2011</w:t>
      </w:r>
      <w:r>
        <w:t xml:space="preserve"> </w:t>
      </w:r>
      <w:r>
        <w:t xml:space="preserve">(Vic);</w:t>
      </w:r>
      <w:r>
        <w:t xml:space="preserve"> </w:t>
      </w:r>
      <w:r>
        <w:rPr>
          <w:iCs/>
          <w:i/>
        </w:rPr>
        <w:t xml:space="preserve">Multiculturalism Act 2020</w:t>
      </w:r>
      <w:r>
        <w:t xml:space="preserve"> </w:t>
      </w:r>
      <w:r>
        <w:t xml:space="preserve">(NSW).</w:t>
      </w:r>
    </w:p>
  </w:footnote>
</w:footnotes>
</file>

<file path=word/header1.xml><?xml version="1.0" encoding="utf-8"?>
<w:hdr xmlns:w="http://schemas.openxmlformats.org/wordprocessingml/2006/main">
  <w:p/>
</w:hdr>
</file>

<file path=word/header2.xml><?xml version="1.0" encoding="utf-8"?>
<w:hdr xmlns:w="http://schemas.openxmlformats.org/wordprocessingml/2006/main">
  <w:p>
    <w:pPr>
      <w:pBdr>
        <w:bottom w:val="single" w:sz="4" w:space="1" w:color="808080"/>
      </w:pBdr>
      <w:tabs>
        <w:tab w:val="right" w:pos="9026"/>
      </w:tabs>
    </w:pPr>
    <w:r>
      <w:rPr>
        <w:i/>
        <w:sz w:val="18"/>
        <w:color w:val="595959"/>
      </w:rPr>
      <w:t xml:space="preserve">Andrew Jakubowicz · University of Technology Sydney</w:t>
    </w:r>
    <w:r>
      <w:rPr>
        <w:i/>
        <w:sz w:val="18"/>
        <w:color w:val="595959"/>
      </w:rPr>
      <w:tab/>
      <w:t xml:space="preserve">Solving the Quandary</w:t>
    </w:r>
  </w:p>
</w:hdr>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HdrF" Type="http://schemas.openxmlformats.org/officeDocument/2006/relationships/header" Target="header1.xml"/><Relationship Id="rIdHdrD" Type="http://schemas.openxmlformats.org/officeDocument/2006/relationships/header" Target="header2.xml"/><Relationship Id="rIdFtrF" Type="http://schemas.openxmlformats.org/officeDocument/2006/relationships/footer" Target="footer1.xml"/><Relationship Id="rIdFtrD" Type="http://schemas.openxmlformats.org/officeDocument/2006/relationships/footer" Target="footer2.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2026-07-11T21:47:45Z</dcterms:created>
  <dcterms:modified xsi:type="dcterms:W3CDTF">2026-07-11T21:47:45Z</dcterms:modified>
</cp:coreProperties>
</file>

<file path=docProps/custom.xml><?xml version="1.0" encoding="utf-8"?>
<Properties xmlns="http://schemas.openxmlformats.org/officeDocument/2006/custom-properties" xmlns:vt="http://schemas.openxmlformats.org/officeDocument/2006/docPropsVTypes"/>
</file>