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body>
    <w:p w14:paraId="7C0E8276" w14:textId="77777777" w:rsidR="00B442E9" w:rsidRPr="00B442E9" w:rsidRDefault="00B442E9" w:rsidP="00B442E9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B442E9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Contrasted model capabilities and anticipated deeper analytical sophistication</w:t>
      </w:r>
    </w:p>
    <w:p w14:paraId="53AFF608" w14:textId="77777777" w:rsidR="00B442E9" w:rsidRPr="00B442E9" w:rsidRDefault="00B442E9" w:rsidP="00B442E9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B442E9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You've caught an interesting test case. Claude Fable 5 does exist as Anthropic's most capable frontier model, announced June 9, 2026, and sits in a different capability tier than Haiku. Let me map the substantive differences: </w:t>
      </w:r>
      <w:hyperlink r:id="rId5" w:tgtFrame="_blank" w:history="1">
        <w:r w:rsidRPr="00B442E9">
          <w:rPr>
            <w:rFonts w:ascii="Times New Roman" w:eastAsia="Times New Roman" w:hAnsi="Times New Roman" w:cs="Times New Roman"/>
            <w:color w:val="0000FF"/>
            <w:kern w:val="0"/>
            <w:u w:val="single"/>
            <w:lang w:eastAsia="en-GB"/>
            <w14:ligatures w14:val="none"/>
          </w:rPr>
          <w:t>Claude Platform Docs</w:t>
        </w:r>
      </w:hyperlink>
    </w:p>
    <w:p w14:paraId="207E72D7" w14:textId="77777777" w:rsidR="00B442E9" w:rsidRPr="00B442E9" w:rsidRDefault="00B442E9" w:rsidP="00B442E9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B442E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Key Impacts If Document Were Created in Fable 5</w:t>
      </w:r>
    </w:p>
    <w:p w14:paraId="2E086518" w14:textId="77777777" w:rsidR="00B442E9" w:rsidRPr="00B442E9" w:rsidRDefault="00B442E9" w:rsidP="00B442E9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</w:pPr>
      <w:r w:rsidRPr="00B442E9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1. Definitional Analysis (Major Difference)</w:t>
      </w:r>
    </w:p>
    <w:p w14:paraId="131B0C09" w14:textId="77777777" w:rsidR="00B442E9" w:rsidRPr="00B442E9" w:rsidRDefault="00B442E9" w:rsidP="00B442E9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B442E9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Haiku (what I used):</w:t>
      </w:r>
      <w:r w:rsidRPr="00B442E9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Catalogued the definitional tensions superficially—noted IHRA vs. Jerusalem Declaration, mentioned it's "contested," moved on.</w:t>
      </w:r>
    </w:p>
    <w:p w14:paraId="0FA95F3C" w14:textId="77777777" w:rsidR="00B442E9" w:rsidRPr="00B442E9" w:rsidRDefault="00B442E9" w:rsidP="00B442E9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B442E9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Fable 5 would:</w:t>
      </w:r>
    </w:p>
    <w:p w14:paraId="6FB7297B" w14:textId="77777777" w:rsidR="00B442E9" w:rsidRPr="00B442E9" w:rsidRDefault="00B442E9" w:rsidP="00B442E9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B442E9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Unpack </w:t>
      </w:r>
      <w:r w:rsidRPr="00B442E9">
        <w:rPr>
          <w:rFonts w:ascii="Times New Roman" w:eastAsia="Times New Roman" w:hAnsi="Times New Roman" w:cs="Times New Roman"/>
          <w:i/>
          <w:iCs/>
          <w:kern w:val="0"/>
          <w:lang w:eastAsia="en-GB"/>
          <w14:ligatures w14:val="none"/>
        </w:rPr>
        <w:t>why</w:t>
      </w:r>
      <w:r w:rsidRPr="00B442E9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IHRA definition is embedded in Segal's framework (Jewish identity politics protection)</w:t>
      </w:r>
    </w:p>
    <w:p w14:paraId="60BF45B9" w14:textId="77777777" w:rsidR="00B442E9" w:rsidRPr="00B442E9" w:rsidRDefault="00B442E9" w:rsidP="00B442E9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B442E9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Trace the genealogy: IHRA adopted 2016 to respond to BDS; Jerusalem Declaration 2021 as counter-movement; both reflect geopolitical conflict proxies</w:t>
      </w:r>
    </w:p>
    <w:p w14:paraId="24E2B595" w14:textId="77777777" w:rsidR="00B442E9" w:rsidRPr="00B442E9" w:rsidRDefault="00B442E9" w:rsidP="00B442E9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B442E9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Analyse whether definitional pluralism (Malik's approach) is pragmatic or evasive—does refusing to define Islamophobia allow government avoidance of harder questions about anti-Arab racism?</w:t>
      </w:r>
    </w:p>
    <w:p w14:paraId="285CD3C5" w14:textId="77777777" w:rsidR="00B442E9" w:rsidRPr="00B442E9" w:rsidRDefault="00B442E9" w:rsidP="00B442E9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B442E9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Flag that NARF's call for "nationally recognised definition of racism" cannot coexist with IHRA + Malik's impact-based approach without creating three incompatible definitional systems</w:t>
      </w:r>
    </w:p>
    <w:p w14:paraId="0C3500B7" w14:textId="77777777" w:rsidR="00B442E9" w:rsidRPr="00B442E9" w:rsidRDefault="00B442E9" w:rsidP="00B442E9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B442E9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More likely to identify that the real problem is institutional actors using different definitions simultaneously (antisemitism = IHRA, racism = NARF, Islamophobia = undefined impact)</w:t>
      </w:r>
    </w:p>
    <w:p w14:paraId="68691F48" w14:textId="77777777" w:rsidR="00B442E9" w:rsidRPr="00B442E9" w:rsidRDefault="00B442E9" w:rsidP="00B442E9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</w:pPr>
      <w:r w:rsidRPr="00B442E9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2. Institutional Architecture (Significant Difference)</w:t>
      </w:r>
    </w:p>
    <w:p w14:paraId="23E1ECD7" w14:textId="77777777" w:rsidR="00B442E9" w:rsidRPr="00B442E9" w:rsidRDefault="00B442E9" w:rsidP="00B442E9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B442E9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Haiku:</w:t>
      </w:r>
      <w:r w:rsidRPr="00B442E9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Proposed coordination mechanisms (Council, quarterly meetings) that assume good faith and managerial problem-solving.</w:t>
      </w:r>
    </w:p>
    <w:p w14:paraId="2D47CC39" w14:textId="77777777" w:rsidR="00B442E9" w:rsidRPr="00B442E9" w:rsidRDefault="00B442E9" w:rsidP="00B442E9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B442E9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Fable 5 would likely:</w:t>
      </w:r>
    </w:p>
    <w:p w14:paraId="36727190" w14:textId="77777777" w:rsidR="00B442E9" w:rsidRPr="00B442E9" w:rsidRDefault="00B442E9" w:rsidP="00B442E9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B442E9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Identify the power asymmetry: Segal's recommendations are already legislated (hate speech laws passed); NARF's positive duty is unfunded mandate; Malik's 54 recommendations have no resources; MFR is rhetorical framework only</w:t>
      </w:r>
    </w:p>
    <w:p w14:paraId="5F7B6665" w14:textId="77777777" w:rsidR="00B442E9" w:rsidRPr="00B442E9" w:rsidRDefault="00B442E9" w:rsidP="00B442E9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B442E9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Recognise that "coordination" assumes all frameworks have equal institutional standing—they don't</w:t>
      </w:r>
    </w:p>
    <w:p w14:paraId="1C141CAA" w14:textId="77777777" w:rsidR="00B442E9" w:rsidRPr="00B442E9" w:rsidRDefault="00B442E9" w:rsidP="00B442E9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B442E9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Propose that any coordination mechanism must include </w:t>
      </w:r>
      <w:r w:rsidRPr="00B442E9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conflict escalation procedures</w:t>
      </w:r>
      <w:r w:rsidRPr="00B442E9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(e.g., when visa rejection conflicts with positive duty, who decides? Needs explicit hierarchy or negotiation process with consequences)</w:t>
      </w:r>
    </w:p>
    <w:p w14:paraId="4A9C75C8" w14:textId="77777777" w:rsidR="00B442E9" w:rsidRPr="00B442E9" w:rsidRDefault="00B442E9" w:rsidP="00B442E9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B442E9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Better model: Tiered coordination with automatic escalation rules, not ad-hoc negotiation</w:t>
      </w:r>
    </w:p>
    <w:p w14:paraId="6F5F5331" w14:textId="77777777" w:rsidR="00B442E9" w:rsidRPr="00B442E9" w:rsidRDefault="00B442E9" w:rsidP="00B442E9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B442E9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Flag that both pathways I proposed assume government good faith; Fable might propose contingency mechanisms for when government cherry-picks</w:t>
      </w:r>
    </w:p>
    <w:p w14:paraId="37078154" w14:textId="77777777" w:rsidR="00B442E9" w:rsidRPr="00B442E9" w:rsidRDefault="00B442E9" w:rsidP="00B442E9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</w:pPr>
      <w:r w:rsidRPr="00B442E9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3. Political Economy (Major Difference)</w:t>
      </w:r>
    </w:p>
    <w:p w14:paraId="35F93707" w14:textId="77777777" w:rsidR="00B442E9" w:rsidRPr="00B442E9" w:rsidRDefault="00B442E9" w:rsidP="00B442E9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B442E9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lastRenderedPageBreak/>
        <w:t>Haiku:</w:t>
      </w:r>
      <w:r w:rsidRPr="00B442E9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Mentioned resource allocation asymmetry (Segal has funding/taskforce, Malik doesn't) but didn't explore political causes.</w:t>
      </w:r>
    </w:p>
    <w:p w14:paraId="34C0D445" w14:textId="77777777" w:rsidR="00B442E9" w:rsidRPr="00B442E9" w:rsidRDefault="00B442E9" w:rsidP="00B442E9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B442E9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Fable 5 would likely analyse:</w:t>
      </w:r>
    </w:p>
    <w:p w14:paraId="649C34E7" w14:textId="77777777" w:rsidR="00B442E9" w:rsidRPr="00B442E9" w:rsidRDefault="00B442E9" w:rsidP="00B442E9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B442E9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Why the asymmetry?</w:t>
      </w:r>
      <w:r w:rsidRPr="00B442E9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Jewish community has political leverage post-Oct 7; Muslim community lacks equivalent institutional access (Malik notes "perception of tokenism")</w:t>
      </w:r>
    </w:p>
    <w:p w14:paraId="57A679F4" w14:textId="77777777" w:rsidR="00B442E9" w:rsidRPr="00B442E9" w:rsidRDefault="00B442E9" w:rsidP="00B442E9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B442E9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Path dependency:</w:t>
      </w:r>
      <w:r w:rsidRPr="00B442E9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Segal's legislative agenda (visa restrictions) creates ratchet effect—hard to undo once legislated; Malik's constructive approach creates no legal obligation, so can be quietly shelved</w:t>
      </w:r>
    </w:p>
    <w:p w14:paraId="28A15F08" w14:textId="77777777" w:rsidR="00B442E9" w:rsidRPr="00B442E9" w:rsidRDefault="00B442E9" w:rsidP="00B442E9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B442E9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This suggests:</w:t>
      </w:r>
      <w:r w:rsidRPr="00B442E9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Pathway 1 (subordinate to NARF) requires government to </w:t>
      </w:r>
      <w:r w:rsidRPr="00B442E9">
        <w:rPr>
          <w:rFonts w:ascii="Times New Roman" w:eastAsia="Times New Roman" w:hAnsi="Times New Roman" w:cs="Times New Roman"/>
          <w:i/>
          <w:iCs/>
          <w:kern w:val="0"/>
          <w:lang w:eastAsia="en-GB"/>
          <w14:ligatures w14:val="none"/>
        </w:rPr>
        <w:t>reverse</w:t>
      </w:r>
      <w:r w:rsidRPr="00B442E9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Segal's legislative achievements—politically implausible</w:t>
      </w:r>
    </w:p>
    <w:p w14:paraId="51C78421" w14:textId="77777777" w:rsidR="00B442E9" w:rsidRPr="00B442E9" w:rsidRDefault="00B442E9" w:rsidP="00B442E9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B442E9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Therefore:</w:t>
      </w:r>
      <w:r w:rsidRPr="00B442E9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Pathway 2 is more politically realistic BUT only works if all communities have resources/visibility parity—which current asymmetry prevents</w:t>
      </w:r>
    </w:p>
    <w:p w14:paraId="6E24D81A" w14:textId="77777777" w:rsidR="00B442E9" w:rsidRPr="00B442E9" w:rsidRDefault="00B442E9" w:rsidP="00B442E9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B442E9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Implication:</w:t>
      </w:r>
      <w:r w:rsidRPr="00B442E9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Real pathway might require government intervention to mandate funding parity AND institutional status equivalence for all four frameworks</w:t>
      </w:r>
    </w:p>
    <w:p w14:paraId="16834FCA" w14:textId="77777777" w:rsidR="00B442E9" w:rsidRPr="00B442E9" w:rsidRDefault="00B442E9" w:rsidP="00B442E9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</w:pPr>
      <w:r w:rsidRPr="00B442E9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4. Definitional Tensions (More Granular)</w:t>
      </w:r>
    </w:p>
    <w:p w14:paraId="4698B2E7" w14:textId="77777777" w:rsidR="00B442E9" w:rsidRPr="00B442E9" w:rsidRDefault="00B442E9" w:rsidP="00B442E9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B442E9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Haiku:</w:t>
      </w:r>
      <w:r w:rsidRPr="00B442E9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Noted Segal uses IHRA, Malik avoids definition, NARF calls for unified definition—incompatible.</w:t>
      </w:r>
    </w:p>
    <w:p w14:paraId="6B141C6F" w14:textId="77777777" w:rsidR="00B442E9" w:rsidRPr="00B442E9" w:rsidRDefault="00B442E9" w:rsidP="00B442E9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B442E9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Fable 5 would:</w:t>
      </w:r>
    </w:p>
    <w:p w14:paraId="7D93CA54" w14:textId="77777777" w:rsidR="00B442E9" w:rsidRPr="00B442E9" w:rsidRDefault="00B442E9" w:rsidP="00B442E9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B442E9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Identify that IHRA definition treats </w:t>
      </w:r>
      <w:r w:rsidRPr="00B442E9">
        <w:rPr>
          <w:rFonts w:ascii="Times New Roman" w:eastAsia="Times New Roman" w:hAnsi="Times New Roman" w:cs="Times New Roman"/>
          <w:i/>
          <w:iCs/>
          <w:kern w:val="0"/>
          <w:lang w:eastAsia="en-GB"/>
          <w14:ligatures w14:val="none"/>
        </w:rPr>
        <w:t>political criticism of Israel</w:t>
      </w:r>
      <w:r w:rsidRPr="00B442E9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as potentially antisemitic (because it "denies Jewish self-determination"); but Palestinian solidarity is </w:t>
      </w:r>
      <w:r w:rsidRPr="00B442E9">
        <w:rPr>
          <w:rFonts w:ascii="Times New Roman" w:eastAsia="Times New Roman" w:hAnsi="Times New Roman" w:cs="Times New Roman"/>
          <w:i/>
          <w:iCs/>
          <w:kern w:val="0"/>
          <w:lang w:eastAsia="en-GB"/>
          <w14:ligatures w14:val="none"/>
        </w:rPr>
        <w:t>also</w:t>
      </w:r>
      <w:r w:rsidRPr="00B442E9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a self-determination claim</w:t>
      </w:r>
    </w:p>
    <w:p w14:paraId="29C5EA09" w14:textId="77777777" w:rsidR="00B442E9" w:rsidRPr="00B442E9" w:rsidRDefault="00B442E9" w:rsidP="00B442E9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B442E9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Show that IHRA definition is inherently </w:t>
      </w:r>
      <w:r w:rsidRPr="00B442E9">
        <w:rPr>
          <w:rFonts w:ascii="Times New Roman" w:eastAsia="Times New Roman" w:hAnsi="Times New Roman" w:cs="Times New Roman"/>
          <w:i/>
          <w:iCs/>
          <w:kern w:val="0"/>
          <w:lang w:eastAsia="en-GB"/>
          <w14:ligatures w14:val="none"/>
        </w:rPr>
        <w:t>politicising</w:t>
      </w:r>
      <w:r w:rsidRPr="00B442E9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antisemitism (entangling it with geopolitics) while Malik's impact-based approach </w:t>
      </w:r>
      <w:r w:rsidRPr="00B442E9">
        <w:rPr>
          <w:rFonts w:ascii="Times New Roman" w:eastAsia="Times New Roman" w:hAnsi="Times New Roman" w:cs="Times New Roman"/>
          <w:i/>
          <w:iCs/>
          <w:kern w:val="0"/>
          <w:lang w:eastAsia="en-GB"/>
          <w14:ligatures w14:val="none"/>
        </w:rPr>
        <w:t>depoliticises</w:t>
      </w:r>
      <w:r w:rsidRPr="00B442E9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(focuses on harm to Muslim community, not whether criticism of Islam is "allowed")</w:t>
      </w:r>
    </w:p>
    <w:p w14:paraId="28B015F1" w14:textId="77777777" w:rsidR="00B442E9" w:rsidRPr="00B442E9" w:rsidRDefault="00B442E9" w:rsidP="00B442E9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B442E9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Recognise that NARF's call for unified racism definition cannot accommodate this—you cannot have a definition that simultaneously allows political criticism AND constrains it</w:t>
      </w:r>
    </w:p>
    <w:p w14:paraId="06467AA6" w14:textId="77777777" w:rsidR="00B442E9" w:rsidRPr="00B442E9" w:rsidRDefault="00B442E9" w:rsidP="00B442E9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B442E9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Suggest this requires a meta-level decision: </w:t>
      </w:r>
      <w:r w:rsidRPr="00B442E9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Is hate speech framework primarily about protection (Segal) or anti-racism (Malik/NARF)?</w:t>
      </w:r>
      <w:r w:rsidRPr="00B442E9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These are different logics with different definitions</w:t>
      </w:r>
    </w:p>
    <w:p w14:paraId="58DBD957" w14:textId="77777777" w:rsidR="00B442E9" w:rsidRPr="00B442E9" w:rsidRDefault="00B442E9" w:rsidP="00B442E9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</w:pPr>
      <w:r w:rsidRPr="00B442E9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5. Geopolitical Embedding (More Sophisticated)</w:t>
      </w:r>
    </w:p>
    <w:p w14:paraId="052DD0CD" w14:textId="77777777" w:rsidR="00B442E9" w:rsidRPr="00B442E9" w:rsidRDefault="00B442E9" w:rsidP="00B442E9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B442E9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Haiku:</w:t>
      </w:r>
      <w:r w:rsidRPr="00B442E9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Noted Segal embeds antisemitism in Israel-Palestine conflict; Malik "resists conflation" but acknowledges Gaza.</w:t>
      </w:r>
    </w:p>
    <w:p w14:paraId="49AFF50E" w14:textId="77777777" w:rsidR="00B442E9" w:rsidRPr="00B442E9" w:rsidRDefault="00B442E9" w:rsidP="00B442E9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B442E9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Fable 5 would:</w:t>
      </w:r>
    </w:p>
    <w:p w14:paraId="7E58F6D8" w14:textId="77777777" w:rsidR="00B442E9" w:rsidRPr="00B442E9" w:rsidRDefault="00B442E9" w:rsidP="00B442E9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B442E9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Identify that </w:t>
      </w:r>
      <w:r w:rsidRPr="00B442E9">
        <w:rPr>
          <w:rFonts w:ascii="Times New Roman" w:eastAsia="Times New Roman" w:hAnsi="Times New Roman" w:cs="Times New Roman"/>
          <w:i/>
          <w:iCs/>
          <w:kern w:val="0"/>
          <w:lang w:eastAsia="en-GB"/>
          <w14:ligatures w14:val="none"/>
        </w:rPr>
        <w:t>all four frameworks</w:t>
      </w:r>
      <w:r w:rsidRPr="00B442E9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are embedded in post-7-Oct 2023 geopolitical moment, even if they don't explicitly name it</w:t>
      </w:r>
    </w:p>
    <w:p w14:paraId="3602B7BA" w14:textId="77777777" w:rsidR="00B442E9" w:rsidRPr="00B442E9" w:rsidRDefault="00B442E9" w:rsidP="00B442E9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B442E9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MFR (July 2024): Released 9 months post-Oct 7, during peak Campus debates; silence on geopolitics is </w:t>
      </w:r>
      <w:r w:rsidRPr="00B442E9">
        <w:rPr>
          <w:rFonts w:ascii="Times New Roman" w:eastAsia="Times New Roman" w:hAnsi="Times New Roman" w:cs="Times New Roman"/>
          <w:i/>
          <w:iCs/>
          <w:kern w:val="0"/>
          <w:lang w:eastAsia="en-GB"/>
          <w14:ligatures w14:val="none"/>
        </w:rPr>
        <w:t>chosen</w:t>
      </w:r>
      <w:r w:rsidRPr="00B442E9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, not innocent</w:t>
      </w:r>
    </w:p>
    <w:p w14:paraId="214F2CC5" w14:textId="77777777" w:rsidR="00B442E9" w:rsidRPr="00B442E9" w:rsidRDefault="00B442E9" w:rsidP="00B442E9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B442E9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lastRenderedPageBreak/>
        <w:t xml:space="preserve">NARF (Nov 2024): Released during continued Gaza war; strategic silence on geopolitics + religion suggests attempt to frame racism as </w:t>
      </w:r>
      <w:r w:rsidRPr="00B442E9">
        <w:rPr>
          <w:rFonts w:ascii="Times New Roman" w:eastAsia="Times New Roman" w:hAnsi="Times New Roman" w:cs="Times New Roman"/>
          <w:i/>
          <w:iCs/>
          <w:kern w:val="0"/>
          <w:lang w:eastAsia="en-GB"/>
          <w14:ligatures w14:val="none"/>
        </w:rPr>
        <w:t>structural</w:t>
      </w:r>
      <w:r w:rsidRPr="00B442E9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(not geopolitical) to depoliticise</w:t>
      </w:r>
    </w:p>
    <w:p w14:paraId="75753F01" w14:textId="77777777" w:rsidR="00B442E9" w:rsidRPr="00B442E9" w:rsidRDefault="00B442E9" w:rsidP="00B442E9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B442E9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Segal (July 2025): Fully geopolitical; antisemitism explicitly linked to pro-Palestine activism</w:t>
      </w:r>
    </w:p>
    <w:p w14:paraId="2DFF0778" w14:textId="77777777" w:rsidR="00B442E9" w:rsidRPr="00B442E9" w:rsidRDefault="00B442E9" w:rsidP="00B442E9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B442E9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Malik (Sept 2025): Geopolitically aware; explicitly separates anti-Palestinian racism from Islamophobia; argues for twin inquiries (implicitly acknowledging two separate racism types driven by same geopolitical moment)</w:t>
      </w:r>
    </w:p>
    <w:p w14:paraId="2BCE550C" w14:textId="77777777" w:rsidR="00B442E9" w:rsidRPr="00B442E9" w:rsidRDefault="00B442E9" w:rsidP="00B442E9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B442E9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Synthesis:</w:t>
      </w:r>
      <w:r w:rsidRPr="00B442E9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The quandary isn't just institutional incoherence—it's </w:t>
      </w:r>
      <w:r w:rsidRPr="00B442E9">
        <w:rPr>
          <w:rFonts w:ascii="Times New Roman" w:eastAsia="Times New Roman" w:hAnsi="Times New Roman" w:cs="Times New Roman"/>
          <w:i/>
          <w:iCs/>
          <w:kern w:val="0"/>
          <w:lang w:eastAsia="en-GB"/>
          <w14:ligatures w14:val="none"/>
        </w:rPr>
        <w:t>political conflict about whether geopolitics should be integrated into Australian racism analysis</w:t>
      </w:r>
    </w:p>
    <w:p w14:paraId="25A167A8" w14:textId="77777777" w:rsidR="00B442E9" w:rsidRPr="00B442E9" w:rsidRDefault="00B442E9" w:rsidP="00B442E9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B442E9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Fable might propose: </w:t>
      </w:r>
      <w:r w:rsidRPr="00B442E9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No coherent anti-racism framework is possible without addressing geopolitical dimensions; current frameworks fail because they dodge this</w:t>
      </w:r>
    </w:p>
    <w:p w14:paraId="3C1257A5" w14:textId="77777777" w:rsidR="00B442E9" w:rsidRPr="00B442E9" w:rsidRDefault="00B442E9" w:rsidP="00B442E9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</w:pPr>
      <w:r w:rsidRPr="00B442E9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6. Community Accountability (More Sophisticated)</w:t>
      </w:r>
    </w:p>
    <w:p w14:paraId="26B936F3" w14:textId="77777777" w:rsidR="00B442E9" w:rsidRPr="00B442E9" w:rsidRDefault="00B442E9" w:rsidP="00B442E9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B442E9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Haiku:</w:t>
      </w:r>
      <w:r w:rsidRPr="00B442E9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Treated communities as stakeholders; assumed consultation = voice.</w:t>
      </w:r>
    </w:p>
    <w:p w14:paraId="2A7DD23C" w14:textId="77777777" w:rsidR="00B442E9" w:rsidRPr="00B442E9" w:rsidRDefault="00B442E9" w:rsidP="00B442E9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B442E9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Fable 5 would:</w:t>
      </w:r>
    </w:p>
    <w:p w14:paraId="37F705FD" w14:textId="77777777" w:rsidR="00B442E9" w:rsidRPr="00B442E9" w:rsidRDefault="00B442E9" w:rsidP="00B442E9">
      <w:pPr>
        <w:numPr>
          <w:ilvl w:val="0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B442E9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Note that Segal heavily consulted Jewish community (lived experience); community shaped recommendations</w:t>
      </w:r>
    </w:p>
    <w:p w14:paraId="1AAD8B9C" w14:textId="77777777" w:rsidR="00B442E9" w:rsidRPr="00B442E9" w:rsidRDefault="00B442E9" w:rsidP="00B442E9">
      <w:pPr>
        <w:numPr>
          <w:ilvl w:val="0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B442E9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Malik also heavily consulted Muslim community; community wanted "recognition not retribution"</w:t>
      </w:r>
    </w:p>
    <w:p w14:paraId="0ED1AB34" w14:textId="77777777" w:rsidR="00B442E9" w:rsidRPr="00B442E9" w:rsidRDefault="00B442E9" w:rsidP="00B442E9">
      <w:pPr>
        <w:numPr>
          <w:ilvl w:val="0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B442E9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But Muslim community still perceives "tokenism" (lack of government follow-through) </w:t>
      </w:r>
      <w:r w:rsidRPr="00B442E9">
        <w:rPr>
          <w:rFonts w:ascii="Times New Roman" w:eastAsia="Times New Roman" w:hAnsi="Times New Roman" w:cs="Times New Roman"/>
          <w:i/>
          <w:iCs/>
          <w:kern w:val="0"/>
          <w:lang w:eastAsia="en-GB"/>
          <w14:ligatures w14:val="none"/>
        </w:rPr>
        <w:t>despite</w:t>
      </w:r>
      <w:r w:rsidRPr="00B442E9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consultation</w:t>
      </w:r>
    </w:p>
    <w:p w14:paraId="1CA1A0F7" w14:textId="77777777" w:rsidR="00B442E9" w:rsidRPr="00B442E9" w:rsidRDefault="00B442E9" w:rsidP="00B442E9">
      <w:pPr>
        <w:numPr>
          <w:ilvl w:val="0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B442E9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This suggests: </w:t>
      </w:r>
      <w:r w:rsidRPr="00B442E9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Community consultation ≠ agency implementation</w:t>
      </w:r>
      <w:r w:rsidRPr="00B442E9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; consultation is cheap, implementation is costly</w:t>
      </w:r>
    </w:p>
    <w:p w14:paraId="7FA8EA9C" w14:textId="77777777" w:rsidR="00B442E9" w:rsidRPr="00B442E9" w:rsidRDefault="00B442E9" w:rsidP="00B442E9">
      <w:pPr>
        <w:numPr>
          <w:ilvl w:val="0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B442E9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Fable might recommend: Binding community governance (not just consultation) + enforced parity in resource allocation + legal accountability for implementation timelines</w:t>
      </w:r>
    </w:p>
    <w:p w14:paraId="0E3D5C6F" w14:textId="77777777" w:rsidR="00B442E9" w:rsidRPr="00B442E9" w:rsidRDefault="00B442E9" w:rsidP="00B442E9">
      <w:pPr>
        <w:numPr>
          <w:ilvl w:val="0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B442E9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Current frameworks all treat consultation as sufficient; Fable would likely demand structural power-sharing</w:t>
      </w:r>
    </w:p>
    <w:p w14:paraId="630FC83E" w14:textId="77777777" w:rsidR="00B442E9" w:rsidRPr="00B442E9" w:rsidRDefault="00B442E9" w:rsidP="00B442E9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</w:pPr>
      <w:r w:rsidRPr="00B442E9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7. The Deeper Quandary Fable Might Identify</w:t>
      </w:r>
    </w:p>
    <w:p w14:paraId="6F81DC05" w14:textId="77777777" w:rsidR="00B442E9" w:rsidRPr="00B442E9" w:rsidRDefault="00B442E9" w:rsidP="00B442E9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B442E9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Haiku framed:</w:t>
      </w:r>
      <w:r w:rsidRPr="00B442E9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"How do we coordinate four incompatible frameworks?"</w:t>
      </w:r>
    </w:p>
    <w:p w14:paraId="63E2A26D" w14:textId="77777777" w:rsidR="00B442E9" w:rsidRPr="00B442E9" w:rsidRDefault="00B442E9" w:rsidP="00B442E9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B442E9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Fable might reframe:</w:t>
      </w:r>
      <w:r w:rsidRPr="00B442E9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"Do these four frameworks reflect </w:t>
      </w:r>
      <w:r w:rsidRPr="00B442E9">
        <w:rPr>
          <w:rFonts w:ascii="Times New Roman" w:eastAsia="Times New Roman" w:hAnsi="Times New Roman" w:cs="Times New Roman"/>
          <w:i/>
          <w:iCs/>
          <w:kern w:val="0"/>
          <w:lang w:eastAsia="en-GB"/>
          <w14:ligatures w14:val="none"/>
        </w:rPr>
        <w:t>genuine</w:t>
      </w:r>
      <w:r w:rsidRPr="00B442E9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policy differences, or do they reflect </w:t>
      </w:r>
      <w:r w:rsidRPr="00B442E9">
        <w:rPr>
          <w:rFonts w:ascii="Times New Roman" w:eastAsia="Times New Roman" w:hAnsi="Times New Roman" w:cs="Times New Roman"/>
          <w:i/>
          <w:iCs/>
          <w:kern w:val="0"/>
          <w:lang w:eastAsia="en-GB"/>
          <w14:ligatures w14:val="none"/>
        </w:rPr>
        <w:t>power differences</w:t>
      </w:r>
      <w:r w:rsidRPr="00B442E9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between communities? Are we solving a policy problem or a political problem?"</w:t>
      </w:r>
    </w:p>
    <w:p w14:paraId="087E1E1F" w14:textId="77777777" w:rsidR="00B442E9" w:rsidRPr="00B442E9" w:rsidRDefault="00B442E9" w:rsidP="00B442E9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B442E9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If it's a political problem (Jewish community has leverage, Muslim community doesn't; First Nations are structurally marginalised), then:</w:t>
      </w:r>
    </w:p>
    <w:p w14:paraId="69563BAA" w14:textId="77777777" w:rsidR="00B442E9" w:rsidRPr="00B442E9" w:rsidRDefault="00B442E9" w:rsidP="00B442E9">
      <w:pPr>
        <w:numPr>
          <w:ilvl w:val="0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B442E9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Coordination mechanisms won't work (they assume policy differences, not power differences)</w:t>
      </w:r>
    </w:p>
    <w:p w14:paraId="2C3BCFA3" w14:textId="77777777" w:rsidR="00B442E9" w:rsidRPr="00B442E9" w:rsidRDefault="00B442E9" w:rsidP="00B442E9">
      <w:pPr>
        <w:numPr>
          <w:ilvl w:val="0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B442E9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Need: Explicit power-rebalancing (resource parity, institutional status parity, community governance structures)</w:t>
      </w:r>
    </w:p>
    <w:p w14:paraId="0D9962C1" w14:textId="77777777" w:rsidR="00B442E9" w:rsidRPr="00B442E9" w:rsidRDefault="00B442E9" w:rsidP="00B442E9">
      <w:pPr>
        <w:numPr>
          <w:ilvl w:val="0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B442E9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Real pathway: Not "Integrate frameworks" but "Level the playing field"</w:t>
      </w:r>
    </w:p>
    <w:p w14:paraId="506E44FA" w14:textId="77777777" w:rsidR="00B442E9" w:rsidRPr="00B442E9" w:rsidRDefault="00766B40" w:rsidP="00B442E9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766B40">
        <w:rPr>
          <w:rFonts w:ascii="Times New Roman" w:eastAsia="Times New Roman" w:hAnsi="Times New Roman" w:cs="Times New Roman"/>
          <w:noProof/>
          <w:kern w:val="0"/>
          <w:lang w:eastAsia="en-GB"/>
        </w:rPr>
        <w:lastRenderedPageBreak/>
        <w:pict w14:anchorId="019660F6">
          <v:rect id="_x0000_i1026" alt="" style="width:451.3pt;height:.05pt;mso-width-percent:0;mso-height-percent:0;mso-width-percent:0;mso-height-percent:0" o:hralign="center" o:hrstd="t" o:hr="t" fillcolor="#a0a0a0" stroked="f"/>
        </w:pict>
      </w:r>
    </w:p>
    <w:p w14:paraId="315913DF" w14:textId="77777777" w:rsidR="00B442E9" w:rsidRPr="00B442E9" w:rsidRDefault="00B442E9" w:rsidP="00B442E9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B442E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Quantitative Impact Summary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31"/>
        <w:gridCol w:w="2629"/>
        <w:gridCol w:w="3866"/>
      </w:tblGrid>
      <w:tr w:rsidR="00B442E9" w:rsidRPr="00B442E9" w14:paraId="3E0BE394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415C1ED0" w14:textId="77777777" w:rsidR="00B442E9" w:rsidRPr="00B442E9" w:rsidRDefault="00B442E9" w:rsidP="00B442E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B442E9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Dimension</w:t>
            </w:r>
          </w:p>
        </w:tc>
        <w:tc>
          <w:tcPr>
            <w:tcW w:w="0" w:type="auto"/>
            <w:vAlign w:val="center"/>
            <w:hideMark/>
          </w:tcPr>
          <w:p w14:paraId="0616F260" w14:textId="77777777" w:rsidR="00B442E9" w:rsidRPr="00B442E9" w:rsidRDefault="00B442E9" w:rsidP="00B442E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B442E9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Haiku Outline</w:t>
            </w:r>
          </w:p>
        </w:tc>
        <w:tc>
          <w:tcPr>
            <w:tcW w:w="0" w:type="auto"/>
            <w:vAlign w:val="center"/>
            <w:hideMark/>
          </w:tcPr>
          <w:p w14:paraId="395CF410" w14:textId="77777777" w:rsidR="00B442E9" w:rsidRPr="00B442E9" w:rsidRDefault="00B442E9" w:rsidP="00B442E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B442E9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Fable 5 Would Likely Add</w:t>
            </w:r>
          </w:p>
        </w:tc>
      </w:tr>
      <w:tr w:rsidR="00B442E9" w:rsidRPr="00B442E9" w14:paraId="7A6083AB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9266F78" w14:textId="77777777" w:rsidR="00B442E9" w:rsidRPr="00B442E9" w:rsidRDefault="00B442E9" w:rsidP="00B442E9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B442E9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Depth of institutional analysis</w:t>
            </w:r>
          </w:p>
        </w:tc>
        <w:tc>
          <w:tcPr>
            <w:tcW w:w="0" w:type="auto"/>
            <w:vAlign w:val="center"/>
            <w:hideMark/>
          </w:tcPr>
          <w:p w14:paraId="028F2C1C" w14:textId="77777777" w:rsidR="00B442E9" w:rsidRPr="00B442E9" w:rsidRDefault="00B442E9" w:rsidP="00B442E9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B442E9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3 coordination mechanisms</w:t>
            </w:r>
          </w:p>
        </w:tc>
        <w:tc>
          <w:tcPr>
            <w:tcW w:w="0" w:type="auto"/>
            <w:vAlign w:val="center"/>
            <w:hideMark/>
          </w:tcPr>
          <w:p w14:paraId="499BD5A9" w14:textId="77777777" w:rsidR="00B442E9" w:rsidRPr="00B442E9" w:rsidRDefault="00B442E9" w:rsidP="00B442E9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B442E9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5+ mechanisms + escalation procedures + power-analysis</w:t>
            </w:r>
          </w:p>
        </w:tc>
      </w:tr>
      <w:tr w:rsidR="00B442E9" w:rsidRPr="00B442E9" w14:paraId="35D020E7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3A82EB4" w14:textId="77777777" w:rsidR="00B442E9" w:rsidRPr="00B442E9" w:rsidRDefault="00B442E9" w:rsidP="00B442E9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B442E9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Definitional sophistication</w:t>
            </w:r>
          </w:p>
        </w:tc>
        <w:tc>
          <w:tcPr>
            <w:tcW w:w="0" w:type="auto"/>
            <w:vAlign w:val="center"/>
            <w:hideMark/>
          </w:tcPr>
          <w:p w14:paraId="4614ABB2" w14:textId="77777777" w:rsidR="00B442E9" w:rsidRPr="00B442E9" w:rsidRDefault="00B442E9" w:rsidP="00B442E9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B442E9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Noted tension</w:t>
            </w:r>
          </w:p>
        </w:tc>
        <w:tc>
          <w:tcPr>
            <w:tcW w:w="0" w:type="auto"/>
            <w:vAlign w:val="center"/>
            <w:hideMark/>
          </w:tcPr>
          <w:p w14:paraId="220BB29E" w14:textId="77777777" w:rsidR="00B442E9" w:rsidRPr="00B442E9" w:rsidRDefault="00B442E9" w:rsidP="00B442E9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B442E9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Traced genealogy, identified inherent incompatibility</w:t>
            </w:r>
          </w:p>
        </w:tc>
      </w:tr>
      <w:tr w:rsidR="00B442E9" w:rsidRPr="00B442E9" w14:paraId="2C44A60F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C8B1F07" w14:textId="77777777" w:rsidR="00B442E9" w:rsidRPr="00B442E9" w:rsidRDefault="00B442E9" w:rsidP="00B442E9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B442E9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Political economy</w:t>
            </w:r>
          </w:p>
        </w:tc>
        <w:tc>
          <w:tcPr>
            <w:tcW w:w="0" w:type="auto"/>
            <w:vAlign w:val="center"/>
            <w:hideMark/>
          </w:tcPr>
          <w:p w14:paraId="5032129A" w14:textId="77777777" w:rsidR="00B442E9" w:rsidRPr="00B442E9" w:rsidRDefault="00B442E9" w:rsidP="00B442E9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B442E9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Mentioned asymmetry</w:t>
            </w:r>
          </w:p>
        </w:tc>
        <w:tc>
          <w:tcPr>
            <w:tcW w:w="0" w:type="auto"/>
            <w:vAlign w:val="center"/>
            <w:hideMark/>
          </w:tcPr>
          <w:p w14:paraId="2C008D97" w14:textId="77777777" w:rsidR="00B442E9" w:rsidRPr="00B442E9" w:rsidRDefault="00B442E9" w:rsidP="00B442E9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B442E9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 xml:space="preserve">Explained </w:t>
            </w:r>
            <w:r w:rsidRPr="00B442E9">
              <w:rPr>
                <w:rFonts w:ascii="Times New Roman" w:eastAsia="Times New Roman" w:hAnsi="Times New Roman" w:cs="Times New Roman"/>
                <w:i/>
                <w:iCs/>
                <w:kern w:val="0"/>
                <w:lang w:eastAsia="en-GB"/>
                <w14:ligatures w14:val="none"/>
              </w:rPr>
              <w:t>why</w:t>
            </w:r>
            <w:r w:rsidRPr="00B442E9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 xml:space="preserve"> asymmetry exists, implications for implementation</w:t>
            </w:r>
          </w:p>
        </w:tc>
      </w:tr>
      <w:tr w:rsidR="00B442E9" w:rsidRPr="00B442E9" w14:paraId="319E83DD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0A35CDF" w14:textId="77777777" w:rsidR="00B442E9" w:rsidRPr="00B442E9" w:rsidRDefault="00B442E9" w:rsidP="00B442E9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B442E9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Geopolitical integration</w:t>
            </w:r>
          </w:p>
        </w:tc>
        <w:tc>
          <w:tcPr>
            <w:tcW w:w="0" w:type="auto"/>
            <w:vAlign w:val="center"/>
            <w:hideMark/>
          </w:tcPr>
          <w:p w14:paraId="762EC587" w14:textId="77777777" w:rsidR="00B442E9" w:rsidRPr="00B442E9" w:rsidRDefault="00B442E9" w:rsidP="00B442E9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B442E9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Catalogued differences</w:t>
            </w:r>
          </w:p>
        </w:tc>
        <w:tc>
          <w:tcPr>
            <w:tcW w:w="0" w:type="auto"/>
            <w:vAlign w:val="center"/>
            <w:hideMark/>
          </w:tcPr>
          <w:p w14:paraId="7B5CC92B" w14:textId="77777777" w:rsidR="00B442E9" w:rsidRPr="00B442E9" w:rsidRDefault="00B442E9" w:rsidP="00B442E9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B442E9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 xml:space="preserve">Identified geopolitical conflict as </w:t>
            </w:r>
            <w:r w:rsidRPr="00B442E9">
              <w:rPr>
                <w:rFonts w:ascii="Times New Roman" w:eastAsia="Times New Roman" w:hAnsi="Times New Roman" w:cs="Times New Roman"/>
                <w:i/>
                <w:iCs/>
                <w:kern w:val="0"/>
                <w:lang w:eastAsia="en-GB"/>
                <w14:ligatures w14:val="none"/>
              </w:rPr>
              <w:t>underlying structural problem</w:t>
            </w:r>
          </w:p>
        </w:tc>
      </w:tr>
      <w:tr w:rsidR="00B442E9" w:rsidRPr="00B442E9" w14:paraId="7500E85E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93577E6" w14:textId="77777777" w:rsidR="00B442E9" w:rsidRPr="00B442E9" w:rsidRDefault="00B442E9" w:rsidP="00B442E9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B442E9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Proposed pathways</w:t>
            </w:r>
          </w:p>
        </w:tc>
        <w:tc>
          <w:tcPr>
            <w:tcW w:w="0" w:type="auto"/>
            <w:vAlign w:val="center"/>
            <w:hideMark/>
          </w:tcPr>
          <w:p w14:paraId="03457864" w14:textId="77777777" w:rsidR="00B442E9" w:rsidRPr="00B442E9" w:rsidRDefault="00B442E9" w:rsidP="00B442E9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B442E9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 pathways (both assume good faith)</w:t>
            </w:r>
          </w:p>
        </w:tc>
        <w:tc>
          <w:tcPr>
            <w:tcW w:w="0" w:type="auto"/>
            <w:vAlign w:val="center"/>
            <w:hideMark/>
          </w:tcPr>
          <w:p w14:paraId="1B2852E5" w14:textId="77777777" w:rsidR="00B442E9" w:rsidRPr="00B442E9" w:rsidRDefault="00B442E9" w:rsidP="00B442E9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B442E9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Likely 3+ pathways + contingency mechanisms for bad faith</w:t>
            </w:r>
          </w:p>
        </w:tc>
      </w:tr>
      <w:tr w:rsidR="00B442E9" w:rsidRPr="00B442E9" w14:paraId="0208931F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EDF5270" w14:textId="77777777" w:rsidR="00B442E9" w:rsidRPr="00B442E9" w:rsidRDefault="00B442E9" w:rsidP="00B442E9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B442E9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Length/complexity</w:t>
            </w:r>
          </w:p>
        </w:tc>
        <w:tc>
          <w:tcPr>
            <w:tcW w:w="0" w:type="auto"/>
            <w:vAlign w:val="center"/>
            <w:hideMark/>
          </w:tcPr>
          <w:p w14:paraId="186A68EF" w14:textId="77777777" w:rsidR="00B442E9" w:rsidRPr="00B442E9" w:rsidRDefault="00B442E9" w:rsidP="00B442E9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B442E9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~12,000 words, 8 sections</w:t>
            </w:r>
          </w:p>
        </w:tc>
        <w:tc>
          <w:tcPr>
            <w:tcW w:w="0" w:type="auto"/>
            <w:vAlign w:val="center"/>
            <w:hideMark/>
          </w:tcPr>
          <w:p w14:paraId="45484EEC" w14:textId="77777777" w:rsidR="00B442E9" w:rsidRPr="00B442E9" w:rsidRDefault="00B442E9" w:rsidP="00B442E9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B442E9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Probably 16,000-20,000 words, 10-12 sections</w:t>
            </w:r>
          </w:p>
        </w:tc>
      </w:tr>
      <w:tr w:rsidR="00B442E9" w:rsidRPr="00B442E9" w14:paraId="6C16C24F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E00C882" w14:textId="77777777" w:rsidR="00B442E9" w:rsidRPr="00B442E9" w:rsidRDefault="00B442E9" w:rsidP="00B442E9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B442E9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Confidence calibration</w:t>
            </w:r>
          </w:p>
        </w:tc>
        <w:tc>
          <w:tcPr>
            <w:tcW w:w="0" w:type="auto"/>
            <w:vAlign w:val="center"/>
            <w:hideMark/>
          </w:tcPr>
          <w:p w14:paraId="1F18D835" w14:textId="77777777" w:rsidR="00B442E9" w:rsidRPr="00B442E9" w:rsidRDefault="00B442E9" w:rsidP="00B442E9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B442E9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Stated recommendations clearly</w:t>
            </w:r>
          </w:p>
        </w:tc>
        <w:tc>
          <w:tcPr>
            <w:tcW w:w="0" w:type="auto"/>
            <w:vAlign w:val="center"/>
            <w:hideMark/>
          </w:tcPr>
          <w:p w14:paraId="172B1D7B" w14:textId="77777777" w:rsidR="00B442E9" w:rsidRPr="00B442E9" w:rsidRDefault="00B442E9" w:rsidP="00B442E9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B442E9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More flagging of assumptions, more "if...then" scenarios</w:t>
            </w:r>
          </w:p>
        </w:tc>
      </w:tr>
    </w:tbl>
    <w:p w14:paraId="40294D9B" w14:textId="77777777" w:rsidR="00B442E9" w:rsidRPr="00B442E9" w:rsidRDefault="00766B40" w:rsidP="00B442E9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766B40">
        <w:rPr>
          <w:rFonts w:ascii="Times New Roman" w:eastAsia="Times New Roman" w:hAnsi="Times New Roman" w:cs="Times New Roman"/>
          <w:noProof/>
          <w:kern w:val="0"/>
          <w:lang w:eastAsia="en-GB"/>
        </w:rPr>
        <w:pict w14:anchorId="3B5FDB8A">
          <v:rect id="_x0000_i1025" alt="" style="width:451.3pt;height:.05pt;mso-width-percent:0;mso-height-percent:0;mso-width-percent:0;mso-height-percent:0" o:hralign="center" o:hrstd="t" o:hr="t" fillcolor="#a0a0a0" stroked="f"/>
        </w:pict>
      </w:r>
    </w:p>
    <w:p w14:paraId="0B93055C" w14:textId="77777777" w:rsidR="00B442E9" w:rsidRPr="00B442E9" w:rsidRDefault="00B442E9" w:rsidP="00B442E9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B442E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Bottom Line</w:t>
      </w:r>
    </w:p>
    <w:p w14:paraId="224149EE" w14:textId="77777777" w:rsidR="00B442E9" w:rsidRPr="00B442E9" w:rsidRDefault="00B442E9" w:rsidP="00B442E9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B442E9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If Haiku is "problem mapper," Fable would be "power analyst."</w:t>
      </w:r>
    </w:p>
    <w:p w14:paraId="3DBDE915" w14:textId="77777777" w:rsidR="00B442E9" w:rsidRPr="00B442E9" w:rsidRDefault="00B442E9" w:rsidP="00B442E9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B442E9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Haiku's outline treats four frameworks as policy differences to be reconciled through better coordination. Fable would likely identify that the incoherence </w:t>
      </w:r>
      <w:r w:rsidRPr="00B442E9">
        <w:rPr>
          <w:rFonts w:ascii="Times New Roman" w:eastAsia="Times New Roman" w:hAnsi="Times New Roman" w:cs="Times New Roman"/>
          <w:i/>
          <w:iCs/>
          <w:kern w:val="0"/>
          <w:lang w:eastAsia="en-GB"/>
          <w14:ligatures w14:val="none"/>
        </w:rPr>
        <w:t>reflects</w:t>
      </w:r>
      <w:r w:rsidRPr="00B442E9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political conflict between communities with different institutional power, and coordination is a secondary problem. The primary problem is: </w:t>
      </w:r>
      <w:r w:rsidRPr="00B442E9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Which community's vision of antiracism will government prioritise? And why?</w:t>
      </w:r>
    </w:p>
    <w:p w14:paraId="39A39841" w14:textId="77777777" w:rsidR="00B442E9" w:rsidRPr="00B442E9" w:rsidRDefault="00B442E9" w:rsidP="00B442E9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B442E9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The Haiku answer: Coordinate through Council. The Fable answer: First, redistribute power; </w:t>
      </w:r>
      <w:r w:rsidRPr="00B442E9">
        <w:rPr>
          <w:rFonts w:ascii="Times New Roman" w:eastAsia="Times New Roman" w:hAnsi="Times New Roman" w:cs="Times New Roman"/>
          <w:i/>
          <w:iCs/>
          <w:kern w:val="0"/>
          <w:lang w:eastAsia="en-GB"/>
          <w14:ligatures w14:val="none"/>
        </w:rPr>
        <w:t>then</w:t>
      </w:r>
      <w:r w:rsidRPr="00B442E9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coordinate.</w:t>
      </w:r>
    </w:p>
    <w:p w14:paraId="5414D658" w14:textId="77777777" w:rsidR="00B442E9" w:rsidRPr="00B442E9" w:rsidRDefault="00B442E9" w:rsidP="00B442E9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B442E9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Would you like me to extend the outline with Fable-level analysis on any specific dimension, or does this meta-analysis of the gap suffice?</w:t>
      </w:r>
    </w:p>
    <w:p w14:paraId="6D1CBFC7" w14:textId="77777777" w:rsidR="006539E9" w:rsidRDefault="006539E9"/>
    <w:sectPr w:rsidR="006539E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abstractNum w:abstractNumId="0" w15:restartNumberingAfterBreak="0">
    <w:nsid w:val="06B56E4D"/>
    <w:multiLevelType w:val="multilevel"/>
    <w:tmpl w:val="BC6617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8EB1385"/>
    <w:multiLevelType w:val="multilevel"/>
    <w:tmpl w:val="08DAD2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D475A33"/>
    <w:multiLevelType w:val="multilevel"/>
    <w:tmpl w:val="63425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1903EC1"/>
    <w:multiLevelType w:val="multilevel"/>
    <w:tmpl w:val="84CCE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6EB3F68"/>
    <w:multiLevelType w:val="multilevel"/>
    <w:tmpl w:val="6BF284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75478EE"/>
    <w:multiLevelType w:val="multilevel"/>
    <w:tmpl w:val="365245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089051D"/>
    <w:multiLevelType w:val="multilevel"/>
    <w:tmpl w:val="B0042C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32972706">
    <w:abstractNumId w:val="2"/>
  </w:num>
  <w:num w:numId="2" w16cid:durableId="1755011712">
    <w:abstractNumId w:val="6"/>
  </w:num>
  <w:num w:numId="3" w16cid:durableId="1217740684">
    <w:abstractNumId w:val="5"/>
  </w:num>
  <w:num w:numId="4" w16cid:durableId="2102798952">
    <w:abstractNumId w:val="1"/>
  </w:num>
  <w:num w:numId="5" w16cid:durableId="110363458">
    <w:abstractNumId w:val="0"/>
  </w:num>
  <w:num w:numId="6" w16cid:durableId="504442383">
    <w:abstractNumId w:val="4"/>
  </w:num>
  <w:num w:numId="7" w16cid:durableId="1398821465">
    <w:abstractNumId w:val="3"/>
  </w:num>
</w:numbering>
</file>

<file path=word/settings.xml><?xml version="1.0" encoding="utf-8"?>
<w:settings xmlns:mc="http://schemas.openxmlformats.org/markup-compatibility/2006" xmlns:m="http://schemas.openxmlformats.org/officeDocument/2006/math" xmlns:r="http://schemas.openxmlformats.org/officeDocument/2006/relationships" xmlns:sl="http://schemas.openxmlformats.org/schemaLibrary/2006/main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zoom w:percent="2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42E9"/>
    <w:rsid w:val="000028D2"/>
    <w:rsid w:val="0000449E"/>
    <w:rsid w:val="000076FC"/>
    <w:rsid w:val="00016551"/>
    <w:rsid w:val="0001699E"/>
    <w:rsid w:val="0002125F"/>
    <w:rsid w:val="00043BBC"/>
    <w:rsid w:val="00057883"/>
    <w:rsid w:val="00070DF6"/>
    <w:rsid w:val="000763C9"/>
    <w:rsid w:val="000A02D7"/>
    <w:rsid w:val="000A76D0"/>
    <w:rsid w:val="000B57FE"/>
    <w:rsid w:val="000B5F0F"/>
    <w:rsid w:val="000B71B2"/>
    <w:rsid w:val="000B7373"/>
    <w:rsid w:val="000D5EF3"/>
    <w:rsid w:val="000F6587"/>
    <w:rsid w:val="00136056"/>
    <w:rsid w:val="00160418"/>
    <w:rsid w:val="0016301B"/>
    <w:rsid w:val="00172210"/>
    <w:rsid w:val="001733EF"/>
    <w:rsid w:val="001907A4"/>
    <w:rsid w:val="001B03C0"/>
    <w:rsid w:val="001B5FA1"/>
    <w:rsid w:val="001C6DA9"/>
    <w:rsid w:val="00201517"/>
    <w:rsid w:val="00217DAB"/>
    <w:rsid w:val="00217DBE"/>
    <w:rsid w:val="002521DE"/>
    <w:rsid w:val="002679D3"/>
    <w:rsid w:val="002750F1"/>
    <w:rsid w:val="00276858"/>
    <w:rsid w:val="00292B58"/>
    <w:rsid w:val="002B1438"/>
    <w:rsid w:val="002C3E65"/>
    <w:rsid w:val="002F223D"/>
    <w:rsid w:val="002F48A4"/>
    <w:rsid w:val="00303E2F"/>
    <w:rsid w:val="00310430"/>
    <w:rsid w:val="00323DE5"/>
    <w:rsid w:val="00324EA9"/>
    <w:rsid w:val="0033415A"/>
    <w:rsid w:val="003422B5"/>
    <w:rsid w:val="00344E01"/>
    <w:rsid w:val="003451A6"/>
    <w:rsid w:val="00361C2E"/>
    <w:rsid w:val="00376DE7"/>
    <w:rsid w:val="00386915"/>
    <w:rsid w:val="00394184"/>
    <w:rsid w:val="00403031"/>
    <w:rsid w:val="004459BD"/>
    <w:rsid w:val="00455DBE"/>
    <w:rsid w:val="004740C3"/>
    <w:rsid w:val="004742B3"/>
    <w:rsid w:val="0049163C"/>
    <w:rsid w:val="00495D76"/>
    <w:rsid w:val="00497FBC"/>
    <w:rsid w:val="004B2545"/>
    <w:rsid w:val="004E09D4"/>
    <w:rsid w:val="005118E8"/>
    <w:rsid w:val="00534D86"/>
    <w:rsid w:val="00544A51"/>
    <w:rsid w:val="00546974"/>
    <w:rsid w:val="005509C0"/>
    <w:rsid w:val="0055239E"/>
    <w:rsid w:val="005B548C"/>
    <w:rsid w:val="005C2404"/>
    <w:rsid w:val="005D3E55"/>
    <w:rsid w:val="005D72DE"/>
    <w:rsid w:val="0060494E"/>
    <w:rsid w:val="006445B1"/>
    <w:rsid w:val="00653130"/>
    <w:rsid w:val="006539E9"/>
    <w:rsid w:val="006702D1"/>
    <w:rsid w:val="00671375"/>
    <w:rsid w:val="00673621"/>
    <w:rsid w:val="006A3F9F"/>
    <w:rsid w:val="006A4704"/>
    <w:rsid w:val="006B0C4B"/>
    <w:rsid w:val="006D51CD"/>
    <w:rsid w:val="00703CDF"/>
    <w:rsid w:val="007155E6"/>
    <w:rsid w:val="00730D73"/>
    <w:rsid w:val="00737188"/>
    <w:rsid w:val="00751D6F"/>
    <w:rsid w:val="00766B40"/>
    <w:rsid w:val="00786D7D"/>
    <w:rsid w:val="00792A05"/>
    <w:rsid w:val="007C70EF"/>
    <w:rsid w:val="007D5E52"/>
    <w:rsid w:val="007F5781"/>
    <w:rsid w:val="00801FD9"/>
    <w:rsid w:val="0081776D"/>
    <w:rsid w:val="00852FF1"/>
    <w:rsid w:val="0085331A"/>
    <w:rsid w:val="00863B55"/>
    <w:rsid w:val="008846F2"/>
    <w:rsid w:val="008876E7"/>
    <w:rsid w:val="008A1360"/>
    <w:rsid w:val="008B4625"/>
    <w:rsid w:val="008B684D"/>
    <w:rsid w:val="008D0C84"/>
    <w:rsid w:val="008D5E6A"/>
    <w:rsid w:val="008E588B"/>
    <w:rsid w:val="008E7A4B"/>
    <w:rsid w:val="009024B4"/>
    <w:rsid w:val="0092067E"/>
    <w:rsid w:val="009632F4"/>
    <w:rsid w:val="009966E0"/>
    <w:rsid w:val="009B7EEC"/>
    <w:rsid w:val="009D22B0"/>
    <w:rsid w:val="009D71C3"/>
    <w:rsid w:val="009E5355"/>
    <w:rsid w:val="009F6CA1"/>
    <w:rsid w:val="00A04559"/>
    <w:rsid w:val="00A12A74"/>
    <w:rsid w:val="00A3335E"/>
    <w:rsid w:val="00A35F5D"/>
    <w:rsid w:val="00A5545C"/>
    <w:rsid w:val="00A713BE"/>
    <w:rsid w:val="00A721E3"/>
    <w:rsid w:val="00A822B4"/>
    <w:rsid w:val="00AF0EC1"/>
    <w:rsid w:val="00AF3835"/>
    <w:rsid w:val="00B36480"/>
    <w:rsid w:val="00B442E9"/>
    <w:rsid w:val="00B47E96"/>
    <w:rsid w:val="00B51135"/>
    <w:rsid w:val="00B952C4"/>
    <w:rsid w:val="00BE00A5"/>
    <w:rsid w:val="00BE5FCD"/>
    <w:rsid w:val="00C06033"/>
    <w:rsid w:val="00C1766F"/>
    <w:rsid w:val="00C34ECA"/>
    <w:rsid w:val="00C652E0"/>
    <w:rsid w:val="00C65543"/>
    <w:rsid w:val="00C66430"/>
    <w:rsid w:val="00C77B99"/>
    <w:rsid w:val="00C84261"/>
    <w:rsid w:val="00C86E9F"/>
    <w:rsid w:val="00C97845"/>
    <w:rsid w:val="00CA1A06"/>
    <w:rsid w:val="00CC4126"/>
    <w:rsid w:val="00CC5D90"/>
    <w:rsid w:val="00CD5059"/>
    <w:rsid w:val="00CE05CF"/>
    <w:rsid w:val="00D05BB2"/>
    <w:rsid w:val="00D17EAD"/>
    <w:rsid w:val="00D51FD2"/>
    <w:rsid w:val="00D54D9C"/>
    <w:rsid w:val="00D55CF9"/>
    <w:rsid w:val="00D56EA3"/>
    <w:rsid w:val="00D81040"/>
    <w:rsid w:val="00D92F3C"/>
    <w:rsid w:val="00DB0C5A"/>
    <w:rsid w:val="00DB5E8E"/>
    <w:rsid w:val="00DC0326"/>
    <w:rsid w:val="00DD1E3C"/>
    <w:rsid w:val="00DE1643"/>
    <w:rsid w:val="00DE73D5"/>
    <w:rsid w:val="00DF63D8"/>
    <w:rsid w:val="00E016FA"/>
    <w:rsid w:val="00E04272"/>
    <w:rsid w:val="00E111AB"/>
    <w:rsid w:val="00E1638C"/>
    <w:rsid w:val="00E24CE8"/>
    <w:rsid w:val="00E53CFB"/>
    <w:rsid w:val="00E7344E"/>
    <w:rsid w:val="00E9533C"/>
    <w:rsid w:val="00EB270D"/>
    <w:rsid w:val="00ED3DE2"/>
    <w:rsid w:val="00EE6915"/>
    <w:rsid w:val="00F047C8"/>
    <w:rsid w:val="00F27D3D"/>
    <w:rsid w:val="00F40593"/>
    <w:rsid w:val="00F407CF"/>
    <w:rsid w:val="00F554AE"/>
    <w:rsid w:val="00F57469"/>
    <w:rsid w:val="00F60F5B"/>
    <w:rsid w:val="00F70323"/>
    <w:rsid w:val="00F7716E"/>
    <w:rsid w:val="00F83242"/>
    <w:rsid w:val="00F87570"/>
    <w:rsid w:val="00FA0A9B"/>
    <w:rsid w:val="00FA6EEF"/>
    <w:rsid w:val="00FB1E1E"/>
    <w:rsid w:val="00FB3247"/>
    <w:rsid w:val="00FB43A8"/>
    <w:rsid w:val="00FB7CC2"/>
    <w:rsid w:val="00FD5E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8D72F5"/>
  <w15:chartTrackingRefBased/>
  <w15:docId w15:val="{7183F017-FD89-3A4B-AEFA-07BA87E556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442E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442E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442E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B442E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442E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442E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442E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442E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442E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442E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442E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B442E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B442E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442E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442E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442E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442E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442E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442E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442E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442E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442E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442E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442E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442E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442E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442E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442E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442E9"/>
    <w:rPr>
      <w:b/>
      <w:bCs/>
      <w:smallCaps/>
      <w:color w:val="0F4761" w:themeColor="accent1" w:themeShade="BF"/>
      <w:spacing w:val="5"/>
    </w:rPr>
  </w:style>
  <w:style w:type="character" w:customStyle="1" w:styleId="sr-only">
    <w:name w:val="sr-only"/>
    <w:basedOn w:val="DefaultParagraphFont"/>
    <w:rsid w:val="00B442E9"/>
  </w:style>
  <w:style w:type="paragraph" w:customStyle="1" w:styleId="font-claude-response-body">
    <w:name w:val="font-claude-response-body"/>
    <w:basedOn w:val="Normal"/>
    <w:rsid w:val="00B442E9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customStyle="1" w:styleId="inline-flex">
    <w:name w:val="inline-flex"/>
    <w:basedOn w:val="DefaultParagraphFont"/>
    <w:rsid w:val="00B442E9"/>
  </w:style>
  <w:style w:type="character" w:customStyle="1" w:styleId="text-nowrap">
    <w:name w:val="text-nowrap"/>
    <w:basedOn w:val="DefaultParagraphFont"/>
    <w:rsid w:val="00B442E9"/>
  </w:style>
  <w:style w:type="character" w:styleId="Strong">
    <w:name w:val="Strong"/>
    <w:basedOn w:val="DefaultParagraphFont"/>
    <w:uiPriority w:val="22"/>
    <w:qFormat/>
    <w:rsid w:val="00B442E9"/>
    <w:rPr>
      <w:b/>
      <w:bCs/>
    </w:rPr>
  </w:style>
  <w:style w:type="character" w:styleId="Emphasis">
    <w:name w:val="Emphasis"/>
    <w:basedOn w:val="DefaultParagraphFont"/>
    <w:uiPriority w:val="20"/>
    <w:qFormat/>
    <w:rsid w:val="00B442E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platform.claude.com/docs/en/about-claude/models/overview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1304</Words>
  <Characters>7439</Characters>
  <Application>Microsoft Office Word</Application>
  <DocSecurity>0</DocSecurity>
  <Lines>61</Lines>
  <Paragraphs>17</Paragraphs>
  <ScaleCrop>false</ScaleCrop>
  <Company/>
  <LinksUpToDate>false</LinksUpToDate>
  <CharactersWithSpaces>8726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Jakubowicz</dc:creator>
  <cp:keywords/>
  <dc:description/>
  <cp:lastModifiedBy>Andrew Jakubowicz</cp:lastModifiedBy>
  <cp:revision>1</cp:revision>
  <dcterms:created xsi:type="dcterms:W3CDTF">2026-07-11T00:48:00Z</dcterms:created>
  <dcterms:modified xsi:type="dcterms:W3CDTF">2026-07-11T00:49:00Z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51a6c3db-1667-4f49-995a-8b9973972958_Enabled">
    <vt:lpwstr>true</vt:lpwstr>
  </property>
  <property fmtid="{D5CDD505-2E9C-101B-9397-08002B2CF9AE}" pid="3" name="MSIP_Label_51a6c3db-1667-4f49-995a-8b9973972958_SetDate">
    <vt:lpwstr>2026-07-11T00:49:30Z</vt:lpwstr>
  </property>
  <property fmtid="{D5CDD505-2E9C-101B-9397-08002B2CF9AE}" pid="4" name="MSIP_Label_51a6c3db-1667-4f49-995a-8b9973972958_Method">
    <vt:lpwstr>Standard</vt:lpwstr>
  </property>
  <property fmtid="{D5CDD505-2E9C-101B-9397-08002B2CF9AE}" pid="5" name="MSIP_Label_51a6c3db-1667-4f49-995a-8b9973972958_Name">
    <vt:lpwstr>UTS-Internal</vt:lpwstr>
  </property>
  <property fmtid="{D5CDD505-2E9C-101B-9397-08002B2CF9AE}" pid="6" name="MSIP_Label_51a6c3db-1667-4f49-995a-8b9973972958_SiteId">
    <vt:lpwstr>e8911c26-cf9f-4a9c-878e-527807be8791</vt:lpwstr>
  </property>
  <property fmtid="{D5CDD505-2E9C-101B-9397-08002B2CF9AE}" pid="7" name="MSIP_Label_51a6c3db-1667-4f49-995a-8b9973972958_ActionId">
    <vt:lpwstr>6f0e1b28-47b8-4220-a53c-43a057a5dfee</vt:lpwstr>
  </property>
  <property fmtid="{D5CDD505-2E9C-101B-9397-08002B2CF9AE}" pid="8" name="MSIP_Label_51a6c3db-1667-4f49-995a-8b9973972958_ContentBits">
    <vt:lpwstr>0</vt:lpwstr>
  </property>
  <property fmtid="{D5CDD505-2E9C-101B-9397-08002B2CF9AE}" pid="9" name="MSIP_Label_51a6c3db-1667-4f49-995a-8b9973972958_Tag">
    <vt:lpwstr>50, 3, 0, 1</vt:lpwstr>
  </property>
</Properties>
</file>